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1D5F" w:rsidRDefault="008235C9">
      <w:pPr>
        <w:jc w:val="center"/>
        <w:rPr>
          <w:b/>
        </w:rPr>
      </w:pPr>
      <w:r>
        <w:rPr>
          <w:b/>
          <w:noProof/>
        </w:rPr>
        <mc:AlternateContent>
          <mc:Choice Requires="wps">
            <w:drawing>
              <wp:anchor distT="0" distB="0" distL="0" distR="0" simplePos="0" relativeHeight="2" behindDoc="0" locked="0" layoutInCell="1" allowOverlap="1">
                <wp:simplePos x="0" y="0"/>
                <wp:positionH relativeFrom="column">
                  <wp:posOffset>1144905</wp:posOffset>
                </wp:positionH>
                <wp:positionV relativeFrom="paragraph">
                  <wp:posOffset>-66040</wp:posOffset>
                </wp:positionV>
                <wp:extent cx="3601720" cy="546100"/>
                <wp:effectExtent l="0" t="0" r="0" b="0"/>
                <wp:wrapNone/>
                <wp:docPr id="1" name="Rectangle 2"/>
                <wp:cNvGraphicFramePr/>
                <a:graphic xmlns:a="http://schemas.openxmlformats.org/drawingml/2006/main">
                  <a:graphicData uri="http://schemas.microsoft.com/office/word/2010/wordprocessingShape">
                    <wps:wsp>
                      <wps:cNvSpPr/>
                      <wps:spPr>
                        <a:xfrm>
                          <a:off x="0" y="0"/>
                          <a:ext cx="3601080" cy="545400"/>
                        </a:xfrm>
                        <a:prstGeom prst="rect">
                          <a:avLst/>
                        </a:prstGeom>
                        <a:noFill/>
                        <a:ln>
                          <a:noFill/>
                        </a:ln>
                      </wps:spPr>
                      <wps:style>
                        <a:lnRef idx="0">
                          <a:scrgbClr r="0" g="0" b="0"/>
                        </a:lnRef>
                        <a:fillRef idx="0">
                          <a:scrgbClr r="0" g="0" b="0"/>
                        </a:fillRef>
                        <a:effectRef idx="0">
                          <a:scrgbClr r="0" g="0" b="0"/>
                        </a:effectRef>
                        <a:fontRef idx="minor"/>
                      </wps:style>
                      <wps:txb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wps:txbx>
                      <wps:bodyPr anchor="ctr">
                        <a:noAutofit/>
                      </wps:bodyPr>
                    </wps:wsp>
                  </a:graphicData>
                </a:graphic>
              </wp:anchor>
            </w:drawing>
          </mc:Choice>
          <mc:Fallback>
            <w:pict>
              <v:rect id="shape_0" ID="Rectangle 2" stroked="f" style="position:absolute;margin-left:90.15pt;margin-top:-5.2pt;width:283.5pt;height:42.9pt">
                <w10:wrap type="square"/>
                <v:fill o:detectmouseclick="t" on="false"/>
                <v:stroke color="#3465a4" joinstyle="round" endcap="flat"/>
                <v:textbox>
                  <w:txbxContent>
                    <w:p>
                      <w:pPr>
                        <w:pStyle w:val="NormalWeb"/>
                        <w:overflowPunct w:val="true"/>
                        <w:spacing w:beforeAutospacing="0" w:before="0" w:afterAutospacing="0" w:after="0"/>
                        <w:jc w:val="center"/>
                        <w:textAlignment w:val="baseline"/>
                        <w:rPr/>
                      </w:pPr>
                      <w:r>
                        <w:rPr>
                          <w:rFonts w:ascii="Cambria" w:hAnsi="Cambria"/>
                          <w:color w:val="984806"/>
                          <w:spacing w:val="-20"/>
                          <w:kern w:val="2"/>
                          <w:sz w:val="40"/>
                          <w:szCs w:val="40"/>
                        </w:rPr>
                        <w:t>SABES Program Support PD Center</w:t>
                      </w:r>
                    </w:p>
                  </w:txbxContent>
                </v:textbox>
              </v:rect>
            </w:pict>
          </mc:Fallback>
        </mc:AlternateContent>
      </w:r>
      <w:r>
        <w:rPr>
          <w:b/>
          <w:noProof/>
        </w:rPr>
        <w:drawing>
          <wp:anchor distT="0" distB="0" distL="114300" distR="114300" simplePos="0" relativeHeight="3" behindDoc="0" locked="0" layoutInCell="1" allowOverlap="1">
            <wp:simplePos x="0" y="0"/>
            <wp:positionH relativeFrom="column">
              <wp:posOffset>386715</wp:posOffset>
            </wp:positionH>
            <wp:positionV relativeFrom="paragraph">
              <wp:posOffset>635</wp:posOffset>
            </wp:positionV>
            <wp:extent cx="671195" cy="473075"/>
            <wp:effectExtent l="0" t="0" r="0" b="0"/>
            <wp:wrapTight wrapText="bothSides">
              <wp:wrapPolygon edited="0">
                <wp:start x="-412" y="0"/>
                <wp:lineTo x="-412" y="20466"/>
                <wp:lineTo x="20809" y="20466"/>
                <wp:lineTo x="20809" y="0"/>
                <wp:lineTo x="-41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tretch>
                      <a:fillRect/>
                    </a:stretch>
                  </pic:blipFill>
                  <pic:spPr bwMode="auto">
                    <a:xfrm>
                      <a:off x="0" y="0"/>
                      <a:ext cx="671195" cy="473075"/>
                    </a:xfrm>
                    <a:prstGeom prst="rect">
                      <a:avLst/>
                    </a:prstGeom>
                  </pic:spPr>
                </pic:pic>
              </a:graphicData>
            </a:graphic>
          </wp:anchor>
        </w:drawing>
      </w:r>
    </w:p>
    <w:p w:rsidR="001D1D5F" w:rsidRDefault="001D1D5F">
      <w:pPr>
        <w:jc w:val="center"/>
        <w:rPr>
          <w:b/>
        </w:rPr>
      </w:pPr>
    </w:p>
    <w:p w:rsidR="001D1D5F" w:rsidRDefault="008235C9">
      <w:pPr>
        <w:jc w:val="center"/>
        <w:rPr>
          <w:b/>
          <w:sz w:val="32"/>
          <w:szCs w:val="32"/>
        </w:rPr>
      </w:pPr>
      <w:r>
        <w:rPr>
          <w:b/>
          <w:sz w:val="32"/>
          <w:szCs w:val="32"/>
        </w:rPr>
        <w:t>FY21 On</w:t>
      </w:r>
      <w:r w:rsidR="005949C5">
        <w:rPr>
          <w:b/>
          <w:sz w:val="32"/>
          <w:szCs w:val="32"/>
        </w:rPr>
        <w:t>-</w:t>
      </w:r>
      <w:r>
        <w:rPr>
          <w:b/>
          <w:sz w:val="32"/>
          <w:szCs w:val="32"/>
        </w:rPr>
        <w:t>Demand Professional Development Series</w:t>
      </w:r>
    </w:p>
    <w:p w:rsidR="001D1D5F" w:rsidRDefault="008235C9">
      <w:pPr>
        <w:spacing w:after="0" w:line="240" w:lineRule="auto"/>
        <w:rPr>
          <w:rFonts w:cstheme="minorHAnsi"/>
          <w:b/>
          <w:sz w:val="24"/>
          <w:szCs w:val="24"/>
        </w:rPr>
      </w:pPr>
      <w:r>
        <w:rPr>
          <w:rFonts w:cstheme="minorHAnsi"/>
          <w:b/>
          <w:sz w:val="24"/>
          <w:szCs w:val="24"/>
        </w:rPr>
        <w:t xml:space="preserve">Introduction to Zoom: </w:t>
      </w:r>
    </w:p>
    <w:p w:rsidR="001D1D5F" w:rsidRDefault="008235C9">
      <w:pPr>
        <w:spacing w:after="0" w:line="240" w:lineRule="auto"/>
        <w:rPr>
          <w:rFonts w:cstheme="minorHAnsi"/>
          <w:b/>
          <w:sz w:val="24"/>
          <w:szCs w:val="24"/>
        </w:rPr>
      </w:pPr>
      <w:r>
        <w:rPr>
          <w:rFonts w:cstheme="minorHAnsi"/>
          <w:b/>
          <w:sz w:val="24"/>
          <w:szCs w:val="24"/>
        </w:rPr>
        <w:t>Tips and Tools for Planning and Facilitating Zoom Meetings and Classes</w:t>
      </w:r>
    </w:p>
    <w:p w:rsidR="001D1D5F" w:rsidRDefault="008235C9">
      <w:pPr>
        <w:spacing w:after="0" w:line="240" w:lineRule="auto"/>
        <w:ind w:left="720"/>
      </w:pPr>
      <w:r>
        <w:t xml:space="preserve">This brief, stand-alone 7-minute video offers tips and tools for planning and facilitating meetings and classes using Zoom. Topics include scheduling meetings, using passwords, enabling the </w:t>
      </w:r>
      <w:proofErr w:type="spellStart"/>
      <w:r>
        <w:t>wait</w:t>
      </w:r>
      <w:proofErr w:type="spellEnd"/>
      <w:r>
        <w:t xml:space="preserve"> room, sending meeting invitations, sharing screens, applications, video, and audio, recording and sharing recordings of meetings, whiteboard and annotation, creating polls, creating and managing breakout rooms, and saving chats. </w:t>
      </w:r>
    </w:p>
    <w:p w:rsidR="001D1D5F" w:rsidRDefault="001D1D5F">
      <w:pPr>
        <w:spacing w:after="0" w:line="240" w:lineRule="auto"/>
        <w:rPr>
          <w:rFonts w:ascii="Calibri" w:eastAsia="MS Mincho" w:hAnsi="Calibri" w:cs="Times New Roman"/>
          <w:b/>
          <w:sz w:val="24"/>
          <w:szCs w:val="24"/>
        </w:rPr>
      </w:pPr>
    </w:p>
    <w:p w:rsidR="001D1D5F" w:rsidRDefault="008235C9">
      <w:pPr>
        <w:spacing w:after="0" w:line="240" w:lineRule="auto"/>
        <w:rPr>
          <w:rFonts w:ascii="Calibri" w:eastAsia="MS Mincho" w:hAnsi="Calibri" w:cs="Times New Roman"/>
          <w:b/>
          <w:sz w:val="24"/>
          <w:szCs w:val="24"/>
        </w:rPr>
      </w:pPr>
      <w:r>
        <w:rPr>
          <w:rFonts w:eastAsia="MS Mincho" w:cs="Times New Roman"/>
          <w:b/>
          <w:sz w:val="24"/>
          <w:szCs w:val="24"/>
        </w:rPr>
        <w:t>Communicating from a Distance</w:t>
      </w:r>
    </w:p>
    <w:p w:rsidR="001D1D5F" w:rsidRDefault="00093EAA">
      <w:pPr>
        <w:numPr>
          <w:ilvl w:val="0"/>
          <w:numId w:val="1"/>
        </w:numPr>
        <w:spacing w:after="0" w:line="240" w:lineRule="auto"/>
      </w:pPr>
      <w:hyperlink r:id="rId8">
        <w:r w:rsidR="008235C9">
          <w:rPr>
            <w:rStyle w:val="VisitedInternetLink"/>
            <w:rFonts w:eastAsia="MS Mincho" w:cs="Times New Roman"/>
            <w:color w:val="0563C1"/>
            <w:sz w:val="24"/>
            <w:szCs w:val="24"/>
          </w:rPr>
          <w:t>Communication Tools: Teaching, Advising, and Leading from a Distance</w:t>
        </w:r>
      </w:hyperlink>
      <w:r w:rsidR="008235C9">
        <w:rPr>
          <w:rFonts w:eastAsia="MS Mincho" w:cs="Times New Roman"/>
          <w:sz w:val="24"/>
          <w:szCs w:val="24"/>
        </w:rPr>
        <w:t xml:space="preserve">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This webinar addresses four tools for communicating with students and examples of implementation: Remind for messaging and more, Google Voice for phoning and texting, Zoom for real-time video meetings, and Screencast-O-</w:t>
      </w:r>
      <w:proofErr w:type="spellStart"/>
      <w:r>
        <w:rPr>
          <w:rFonts w:eastAsia="MS Mincho" w:cs="Times New Roman"/>
          <w:sz w:val="24"/>
          <w:szCs w:val="24"/>
        </w:rPr>
        <w:t>Matic</w:t>
      </w:r>
      <w:proofErr w:type="spellEnd"/>
      <w:r>
        <w:rPr>
          <w:rFonts w:eastAsia="MS Mincho" w:cs="Times New Roman"/>
          <w:sz w:val="24"/>
          <w:szCs w:val="24"/>
        </w:rPr>
        <w:t xml:space="preserve"> for creating narrated instructional recordings.</w:t>
      </w:r>
    </w:p>
    <w:p w:rsidR="001D1D5F" w:rsidRDefault="001D1D5F">
      <w:pPr>
        <w:spacing w:after="0" w:line="240" w:lineRule="auto"/>
        <w:rPr>
          <w:rFonts w:ascii="Calibri" w:eastAsia="MS Mincho" w:hAnsi="Calibri" w:cs="Times New Roman"/>
          <w:sz w:val="24"/>
          <w:szCs w:val="24"/>
        </w:rPr>
      </w:pPr>
    </w:p>
    <w:p w:rsidR="001D1D5F" w:rsidRDefault="008235C9">
      <w:pPr>
        <w:spacing w:after="0" w:line="240" w:lineRule="auto"/>
        <w:rPr>
          <w:rFonts w:ascii="Calibri" w:eastAsia="MS Mincho" w:hAnsi="Calibri" w:cs="Times New Roman"/>
          <w:b/>
          <w:sz w:val="24"/>
          <w:szCs w:val="24"/>
        </w:rPr>
      </w:pPr>
      <w:r>
        <w:rPr>
          <w:rFonts w:eastAsia="MS Mincho" w:cs="Times New Roman"/>
          <w:b/>
          <w:sz w:val="24"/>
          <w:szCs w:val="24"/>
        </w:rPr>
        <w:t>Tech and Tell Digital Literacy Sessions</w:t>
      </w:r>
    </w:p>
    <w:p w:rsidR="001D1D5F" w:rsidRDefault="00093EAA">
      <w:pPr>
        <w:numPr>
          <w:ilvl w:val="0"/>
          <w:numId w:val="1"/>
        </w:numPr>
        <w:spacing w:after="0" w:line="240" w:lineRule="auto"/>
      </w:pPr>
      <w:hyperlink r:id="rId9">
        <w:r w:rsidR="008235C9">
          <w:rPr>
            <w:rStyle w:val="VisitedInternetLink"/>
            <w:rFonts w:eastAsia="MS Mincho" w:cs="Times New Roman"/>
            <w:color w:val="0563C1"/>
            <w:sz w:val="24"/>
            <w:szCs w:val="24"/>
          </w:rPr>
          <w:t>Tech and Tell: Developing Your Digital Strategy: Building a Culture of Digital Literacy at Your Program</w:t>
        </w:r>
      </w:hyperlink>
      <w:r w:rsidR="008235C9">
        <w:rPr>
          <w:rFonts w:eastAsia="MS Mincho" w:cs="Times New Roman"/>
          <w:sz w:val="24"/>
          <w:szCs w:val="24"/>
        </w:rPr>
        <w:t>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pPr>
      <w:hyperlink r:id="rId10">
        <w:r w:rsidR="008235C9">
          <w:rPr>
            <w:rStyle w:val="VisitedInternetLink"/>
            <w:rFonts w:eastAsia="MS Mincho" w:cs="Times New Roman"/>
            <w:color w:val="0563C1"/>
            <w:sz w:val="24"/>
            <w:szCs w:val="24"/>
          </w:rPr>
          <w:t xml:space="preserve">Tech and Tell: </w:t>
        </w:r>
        <w:proofErr w:type="spellStart"/>
        <w:r w:rsidR="008235C9">
          <w:rPr>
            <w:rStyle w:val="VisitedInternetLink"/>
            <w:rFonts w:eastAsia="MS Mincho" w:cs="Times New Roman"/>
            <w:color w:val="0563C1"/>
            <w:sz w:val="24"/>
            <w:szCs w:val="24"/>
          </w:rPr>
          <w:t>Northstar</w:t>
        </w:r>
        <w:proofErr w:type="spellEnd"/>
        <w:r w:rsidR="008235C9">
          <w:rPr>
            <w:rStyle w:val="VisitedInternetLink"/>
            <w:rFonts w:eastAsia="MS Mincho" w:cs="Times New Roman"/>
            <w:color w:val="0563C1"/>
            <w:sz w:val="24"/>
            <w:szCs w:val="24"/>
          </w:rPr>
          <w:t xml:space="preserve"> Digital Literacy Assessments and Curriculum: Building Blocks for Digital Literacy</w:t>
        </w:r>
      </w:hyperlink>
    </w:p>
    <w:p w:rsidR="001D1D5F" w:rsidRDefault="008235C9">
      <w:pPr>
        <w:pStyle w:val="ListParagraph"/>
        <w:spacing w:after="0" w:line="240" w:lineRule="auto"/>
      </w:pPr>
      <w:r>
        <w:rPr>
          <w:rFonts w:eastAsia="MS Mincho" w:cs="Times New Roman"/>
          <w:sz w:val="24"/>
          <w:szCs w:val="24"/>
        </w:rPr>
        <w:t xml:space="preserve">This session, facilitated by the developer of the </w:t>
      </w:r>
      <w:hyperlink r:id="rId11">
        <w:proofErr w:type="spellStart"/>
        <w:r>
          <w:rPr>
            <w:rStyle w:val="VisitedInternetLink"/>
            <w:rFonts w:eastAsia="MS Mincho" w:cs="Times New Roman"/>
            <w:sz w:val="24"/>
            <w:szCs w:val="24"/>
          </w:rPr>
          <w:t>Northstar</w:t>
        </w:r>
        <w:proofErr w:type="spellEnd"/>
        <w:r>
          <w:rPr>
            <w:rStyle w:val="VisitedInternetLink"/>
            <w:rFonts w:eastAsia="MS Mincho" w:cs="Times New Roman"/>
            <w:sz w:val="24"/>
            <w:szCs w:val="24"/>
          </w:rPr>
          <w:t xml:space="preserve"> Digital Literacy Assessment</w:t>
        </w:r>
      </w:hyperlink>
      <w:r>
        <w:rPr>
          <w:rFonts w:eastAsia="MS Mincho" w:cs="Times New Roman"/>
          <w:sz w:val="24"/>
          <w:szCs w:val="24"/>
        </w:rPr>
        <w:t xml:space="preserve">, describes how </w:t>
      </w:r>
      <w:proofErr w:type="spellStart"/>
      <w:r>
        <w:rPr>
          <w:rFonts w:eastAsia="MS Mincho" w:cs="Times New Roman"/>
          <w:sz w:val="24"/>
          <w:szCs w:val="24"/>
        </w:rPr>
        <w:t>Northstar</w:t>
      </w:r>
      <w:proofErr w:type="spellEnd"/>
      <w:r>
        <w:rPr>
          <w:rFonts w:eastAsia="MS Mincho" w:cs="Times New Roman"/>
          <w:sz w:val="24"/>
          <w:szCs w:val="24"/>
        </w:rPr>
        <w:t xml:space="preserve"> </w:t>
      </w:r>
      <w:proofErr w:type="gramStart"/>
      <w:r>
        <w:rPr>
          <w:rFonts w:eastAsia="MS Mincho" w:cs="Times New Roman"/>
          <w:sz w:val="24"/>
          <w:szCs w:val="24"/>
        </w:rPr>
        <w:t>can be used</w:t>
      </w:r>
      <w:proofErr w:type="gramEnd"/>
      <w:r>
        <w:rPr>
          <w:rFonts w:eastAsia="MS Mincho" w:cs="Times New Roman"/>
          <w:sz w:val="24"/>
          <w:szCs w:val="24"/>
        </w:rPr>
        <w:t xml:space="preserve"> to assess basic skills needed to use a computer and the internet in daily life, employment, and higher education.</w:t>
      </w: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pPr>
      <w:hyperlink r:id="rId12">
        <w:r w:rsidR="008235C9">
          <w:rPr>
            <w:rStyle w:val="VisitedInternetLink"/>
            <w:rFonts w:eastAsia="MS Mincho" w:cs="Times New Roman"/>
            <w:color w:val="0563C1"/>
            <w:sz w:val="24"/>
            <w:szCs w:val="24"/>
          </w:rPr>
          <w:t>Tech and Tell: Developing an Individual Student Digital Literacy Learning Plan</w:t>
        </w:r>
      </w:hyperlink>
      <w:r w:rsidR="008235C9">
        <w:rPr>
          <w:rFonts w:eastAsia="MS Mincho" w:cs="Times New Roman"/>
          <w:sz w:val="24"/>
          <w:szCs w:val="24"/>
        </w:rPr>
        <w:t xml:space="preserve">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 xml:space="preserve">This session looks at tools for figuring out how to match students' work, education, or other goals to the relevant digital literacy skills they need to reach them, and learning resources for them to develop those skills, as well as digital literacy assessments in order to create a digital </w:t>
      </w:r>
      <w:proofErr w:type="gramStart"/>
      <w:r>
        <w:rPr>
          <w:rFonts w:eastAsia="MS Mincho" w:cs="Times New Roman"/>
          <w:sz w:val="24"/>
          <w:szCs w:val="24"/>
        </w:rPr>
        <w:t>literacy learning</w:t>
      </w:r>
      <w:proofErr w:type="gramEnd"/>
      <w:r>
        <w:rPr>
          <w:rFonts w:eastAsia="MS Mincho" w:cs="Times New Roman"/>
          <w:sz w:val="24"/>
          <w:szCs w:val="24"/>
        </w:rPr>
        <w:t xml:space="preserve"> plan.</w:t>
      </w:r>
    </w:p>
    <w:p w:rsidR="001D1D5F" w:rsidRDefault="001D1D5F">
      <w:pPr>
        <w:spacing w:after="0" w:line="240" w:lineRule="auto"/>
        <w:ind w:left="720"/>
        <w:rPr>
          <w:rFonts w:ascii="Calibri" w:eastAsia="MS Mincho" w:hAnsi="Calibri" w:cs="Times New Roman"/>
          <w:sz w:val="24"/>
          <w:szCs w:val="24"/>
        </w:rPr>
      </w:pPr>
    </w:p>
    <w:p w:rsidR="001D1D5F" w:rsidRDefault="001D1D5F">
      <w:pPr>
        <w:spacing w:after="0" w:line="240" w:lineRule="auto"/>
        <w:ind w:left="720"/>
        <w:rPr>
          <w:rFonts w:ascii="Calibri" w:eastAsia="MS Mincho" w:hAnsi="Calibri" w:cs="Times New Roman"/>
          <w:sz w:val="24"/>
          <w:szCs w:val="24"/>
        </w:rPr>
      </w:pP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pPr>
      <w:hyperlink r:id="rId13">
        <w:r w:rsidR="008235C9">
          <w:rPr>
            <w:rStyle w:val="VisitedInternetLink"/>
            <w:rFonts w:eastAsia="MS Mincho" w:cs="Times New Roman"/>
            <w:color w:val="0563C1"/>
            <w:sz w:val="24"/>
            <w:szCs w:val="24"/>
          </w:rPr>
          <w:t>Tech and Tell: Using Digital Tools to Design Assessments</w:t>
        </w:r>
      </w:hyperlink>
      <w:r w:rsidR="008235C9">
        <w:rPr>
          <w:rFonts w:eastAsia="MS Mincho" w:cs="Times New Roman"/>
          <w:sz w:val="24"/>
          <w:szCs w:val="24"/>
        </w:rPr>
        <w:t xml:space="preserve">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 xml:space="preserve">Participants will learn about two assessment tools that </w:t>
      </w:r>
      <w:proofErr w:type="gramStart"/>
      <w:r>
        <w:rPr>
          <w:rFonts w:eastAsia="MS Mincho" w:cs="Times New Roman"/>
          <w:sz w:val="24"/>
          <w:szCs w:val="24"/>
        </w:rPr>
        <w:t>can be used</w:t>
      </w:r>
      <w:proofErr w:type="gramEnd"/>
      <w:r>
        <w:rPr>
          <w:rFonts w:eastAsia="MS Mincho" w:cs="Times New Roman"/>
          <w:sz w:val="24"/>
          <w:szCs w:val="24"/>
        </w:rPr>
        <w:t xml:space="preserve"> to add existing content to: </w:t>
      </w:r>
      <w:proofErr w:type="spellStart"/>
      <w:r>
        <w:rPr>
          <w:rFonts w:eastAsia="MS Mincho" w:cs="Times New Roman"/>
          <w:sz w:val="24"/>
          <w:szCs w:val="24"/>
        </w:rPr>
        <w:t>Quizalize</w:t>
      </w:r>
      <w:proofErr w:type="spellEnd"/>
      <w:r>
        <w:rPr>
          <w:rFonts w:eastAsia="MS Mincho" w:cs="Times New Roman"/>
          <w:sz w:val="24"/>
          <w:szCs w:val="24"/>
        </w:rPr>
        <w:t xml:space="preserve"> and </w:t>
      </w:r>
      <w:proofErr w:type="spellStart"/>
      <w:r>
        <w:rPr>
          <w:rFonts w:eastAsia="MS Mincho" w:cs="Times New Roman"/>
          <w:sz w:val="24"/>
          <w:szCs w:val="24"/>
        </w:rPr>
        <w:t>Edpuzzle</w:t>
      </w:r>
      <w:proofErr w:type="spellEnd"/>
      <w:r>
        <w:rPr>
          <w:rFonts w:eastAsia="MS Mincho" w:cs="Times New Roman"/>
          <w:sz w:val="24"/>
          <w:szCs w:val="24"/>
        </w:rPr>
        <w:t xml:space="preserve">. It also introduces two user-friendly tools used to create customized </w:t>
      </w:r>
      <w:proofErr w:type="gramStart"/>
      <w:r>
        <w:rPr>
          <w:rFonts w:eastAsia="MS Mincho" w:cs="Times New Roman"/>
          <w:sz w:val="24"/>
          <w:szCs w:val="24"/>
        </w:rPr>
        <w:t>assessments:</w:t>
      </w:r>
      <w:proofErr w:type="gramEnd"/>
      <w:r>
        <w:rPr>
          <w:rFonts w:eastAsia="MS Mincho" w:cs="Times New Roman"/>
          <w:sz w:val="24"/>
          <w:szCs w:val="24"/>
        </w:rPr>
        <w:t xml:space="preserve"> Google Forms Quiz and </w:t>
      </w:r>
      <w:proofErr w:type="spellStart"/>
      <w:r>
        <w:rPr>
          <w:rFonts w:eastAsia="MS Mincho" w:cs="Times New Roman"/>
          <w:sz w:val="24"/>
          <w:szCs w:val="24"/>
        </w:rPr>
        <w:t>Padlet</w:t>
      </w:r>
      <w:proofErr w:type="spellEnd"/>
      <w:r>
        <w:rPr>
          <w:rFonts w:eastAsia="MS Mincho" w:cs="Times New Roman"/>
          <w:sz w:val="24"/>
          <w:szCs w:val="24"/>
        </w:rPr>
        <w:t>.</w:t>
      </w: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pPr>
      <w:hyperlink r:id="rId14">
        <w:r w:rsidR="008235C9">
          <w:rPr>
            <w:rStyle w:val="VisitedInternetLink"/>
            <w:rFonts w:eastAsia="MS Mincho" w:cs="Times New Roman"/>
            <w:color w:val="0563C1"/>
            <w:sz w:val="24"/>
            <w:szCs w:val="24"/>
          </w:rPr>
          <w:t>Tech and Tell: Designing Digital Learning Experiences</w:t>
        </w:r>
      </w:hyperlink>
      <w:r w:rsidR="008235C9">
        <w:rPr>
          <w:rFonts w:eastAsia="MS Mincho" w:cs="Times New Roman"/>
          <w:sz w:val="24"/>
          <w:szCs w:val="24"/>
        </w:rPr>
        <w:t xml:space="preserve"> </w:t>
      </w:r>
    </w:p>
    <w:p w:rsidR="001D1D5F" w:rsidRDefault="008235C9">
      <w:pPr>
        <w:pStyle w:val="ListParagraph"/>
        <w:spacing w:after="0" w:line="240" w:lineRule="auto"/>
        <w:rPr>
          <w:rFonts w:ascii="Calibri" w:eastAsia="MS Mincho" w:hAnsi="Calibri" w:cs="Times New Roman"/>
          <w:sz w:val="24"/>
          <w:szCs w:val="24"/>
        </w:rPr>
      </w:pPr>
      <w:r>
        <w:rPr>
          <w:rFonts w:eastAsia="MS Mincho" w:cs="Times New Roman"/>
          <w:sz w:val="24"/>
          <w:szCs w:val="24"/>
        </w:rPr>
        <w:t xml:space="preserve">Although many programs have students for a very limited number of hours, teachers, advisors, and others have so much we need to cover during that brief time. For some, adding digital literacy can feel like an impossibility. While it can certainly be challenging to figure out how to cover that along with content and skills, it </w:t>
      </w:r>
      <w:proofErr w:type="gramStart"/>
      <w:r>
        <w:rPr>
          <w:rFonts w:eastAsia="MS Mincho" w:cs="Times New Roman"/>
          <w:sz w:val="24"/>
          <w:szCs w:val="24"/>
        </w:rPr>
        <w:t>can be done</w:t>
      </w:r>
      <w:proofErr w:type="gramEnd"/>
      <w:r>
        <w:rPr>
          <w:rFonts w:eastAsia="MS Mincho" w:cs="Times New Roman"/>
          <w:sz w:val="24"/>
          <w:szCs w:val="24"/>
        </w:rPr>
        <w:t>! Offers an approach to weaving together digital literacy, content, and skills with several examples including a single lesson, a curriculum theme, and a project.</w:t>
      </w:r>
    </w:p>
    <w:p w:rsidR="001D1D5F" w:rsidRDefault="001D1D5F">
      <w:pPr>
        <w:pStyle w:val="ListParagraph"/>
        <w:spacing w:after="0" w:line="240" w:lineRule="auto"/>
        <w:rPr>
          <w:rFonts w:ascii="Calibri" w:eastAsia="MS Mincho" w:hAnsi="Calibri" w:cs="Times New Roman"/>
          <w:sz w:val="24"/>
          <w:szCs w:val="24"/>
        </w:rPr>
      </w:pPr>
    </w:p>
    <w:p w:rsidR="001D1D5F" w:rsidRDefault="00093EAA">
      <w:pPr>
        <w:numPr>
          <w:ilvl w:val="0"/>
          <w:numId w:val="1"/>
        </w:numPr>
        <w:spacing w:after="0" w:line="240" w:lineRule="auto"/>
      </w:pPr>
      <w:hyperlink r:id="rId15">
        <w:r w:rsidR="008235C9">
          <w:rPr>
            <w:rStyle w:val="VisitedInternetLink"/>
            <w:rFonts w:eastAsia="MS Mincho" w:cs="Times New Roman"/>
            <w:color w:val="0563C1"/>
            <w:sz w:val="24"/>
            <w:szCs w:val="24"/>
          </w:rPr>
          <w:t>Tech and Tell: Making Digital Devices and Materials More Accessible</w:t>
        </w:r>
      </w:hyperlink>
      <w:r w:rsidR="008235C9">
        <w:rPr>
          <w:rFonts w:eastAsia="MS Mincho" w:cs="Times New Roman"/>
          <w:sz w:val="24"/>
          <w:szCs w:val="24"/>
        </w:rPr>
        <w:t xml:space="preserve">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This session focuses on basic settings and instructions for creating equitable access at program and in our classes for students with hand motor, visual, or auditory difficulties. It focuses on how to be inclusive so that program and class materials are readable and program digital devices are navigable.</w:t>
      </w:r>
    </w:p>
    <w:p w:rsidR="001D1D5F" w:rsidRDefault="001D1D5F">
      <w:pPr>
        <w:spacing w:after="0" w:line="240" w:lineRule="auto"/>
        <w:rPr>
          <w:rFonts w:ascii="Calibri" w:eastAsia="MS Mincho" w:hAnsi="Calibri" w:cs="Times New Roman"/>
          <w:sz w:val="24"/>
          <w:szCs w:val="24"/>
        </w:rPr>
      </w:pPr>
    </w:p>
    <w:p w:rsidR="001D1D5F" w:rsidRDefault="008235C9">
      <w:pPr>
        <w:spacing w:after="0" w:line="240" w:lineRule="auto"/>
        <w:rPr>
          <w:rFonts w:ascii="Calibri" w:eastAsia="MS Mincho" w:hAnsi="Calibri" w:cs="Times New Roman"/>
          <w:b/>
          <w:sz w:val="24"/>
          <w:szCs w:val="24"/>
        </w:rPr>
      </w:pPr>
      <w:r>
        <w:rPr>
          <w:rFonts w:eastAsia="MS Mincho" w:cs="Times New Roman"/>
          <w:b/>
          <w:sz w:val="24"/>
          <w:szCs w:val="24"/>
        </w:rPr>
        <w:t>Online Products for Distance and Blended Education</w:t>
      </w:r>
    </w:p>
    <w:p w:rsidR="001D1D5F" w:rsidRDefault="00093EAA">
      <w:pPr>
        <w:numPr>
          <w:ilvl w:val="0"/>
          <w:numId w:val="1"/>
        </w:numPr>
        <w:spacing w:after="0" w:line="240" w:lineRule="auto"/>
      </w:pPr>
      <w:hyperlink r:id="rId16">
        <w:r w:rsidR="008235C9">
          <w:rPr>
            <w:rStyle w:val="InternetLink"/>
            <w:rFonts w:eastAsia="MS Mincho" w:cs="Times New Roman"/>
            <w:color w:val="0563C1"/>
            <w:sz w:val="24"/>
            <w:szCs w:val="24"/>
          </w:rPr>
          <w:t>Planning Now for Online Classes: Using USA Learns</w:t>
        </w:r>
      </w:hyperlink>
      <w:bookmarkStart w:id="1" w:name="__DdeLink__77_950055115"/>
      <w:bookmarkEnd w:id="1"/>
      <w:r w:rsidR="008235C9">
        <w:rPr>
          <w:rFonts w:eastAsia="MS Mincho" w:cs="Times New Roman"/>
          <w:b/>
          <w:sz w:val="24"/>
          <w:szCs w:val="24"/>
        </w:rPr>
        <w:t xml:space="preserve"> </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USA Learns is a free online ESOL curriculum that covers reading, writing, speaking, and listening skills with multimedia activities such as video, audio recording, plus writing assignments. This webinar addresses the basics: setting up a class, enrolling and onboarding students, tracking progress, and engaging and supporting students in an online learning environment.</w:t>
      </w: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rPr>
          <w:rFonts w:eastAsia="MS Mincho" w:cs="Times New Roman"/>
          <w:sz w:val="24"/>
          <w:szCs w:val="24"/>
        </w:rPr>
      </w:pPr>
      <w:hyperlink r:id="rId17">
        <w:r w:rsidR="008235C9">
          <w:rPr>
            <w:rStyle w:val="VisitedInternetLink"/>
            <w:rFonts w:eastAsia="MS Mincho" w:cs="Times New Roman"/>
            <w:color w:val="0563C1"/>
            <w:sz w:val="24"/>
            <w:szCs w:val="24"/>
          </w:rPr>
          <w:t>Teaching Online Using Free Google Classroom Resources - Part 1: Getting Started and Using the Stream</w:t>
        </w:r>
      </w:hyperlink>
      <w:hyperlink r:id="rId18"/>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This Part 1 session reviews the basics of using Google Classroom such as how to create online accounts and classrooms, onboard students, and use the Stream page to initiate student discussions and other activities.</w:t>
      </w:r>
    </w:p>
    <w:p w:rsidR="001D1D5F" w:rsidRDefault="001D1D5F">
      <w:pPr>
        <w:spacing w:after="0" w:line="240" w:lineRule="auto"/>
        <w:ind w:left="720"/>
        <w:rPr>
          <w:rFonts w:ascii="Calibri" w:eastAsia="MS Mincho" w:hAnsi="Calibri" w:cs="Times New Roman"/>
          <w:sz w:val="24"/>
          <w:szCs w:val="24"/>
        </w:rPr>
      </w:pPr>
    </w:p>
    <w:p w:rsidR="001D1D5F" w:rsidRDefault="00093EAA">
      <w:pPr>
        <w:numPr>
          <w:ilvl w:val="0"/>
          <w:numId w:val="1"/>
        </w:numPr>
        <w:spacing w:after="0" w:line="240" w:lineRule="auto"/>
      </w:pPr>
      <w:hyperlink r:id="rId19">
        <w:r w:rsidR="008235C9">
          <w:rPr>
            <w:rStyle w:val="VisitedInternetLink"/>
            <w:rFonts w:eastAsia="MS Mincho" w:cs="Times New Roman"/>
            <w:color w:val="0563C1"/>
            <w:sz w:val="24"/>
            <w:szCs w:val="24"/>
          </w:rPr>
          <w:t xml:space="preserve">Teaching Online Using Free Google Classroom Resources - Part 2: </w:t>
        </w:r>
      </w:hyperlink>
      <w:hyperlink r:id="rId20"/>
      <w:hyperlink r:id="rId21">
        <w:r w:rsidR="008235C9">
          <w:rPr>
            <w:rStyle w:val="VisitedInternetLink"/>
            <w:rFonts w:eastAsia="MS Mincho" w:cs="Times New Roman"/>
            <w:color w:val="0563C1"/>
            <w:sz w:val="24"/>
            <w:szCs w:val="24"/>
          </w:rPr>
          <w:t>A</w:t>
        </w:r>
      </w:hyperlink>
      <w:r w:rsidR="008235C9">
        <w:rPr>
          <w:rFonts w:eastAsia="MS Mincho" w:cs="Times New Roman"/>
          <w:color w:val="0563C1"/>
          <w:sz w:val="24"/>
          <w:szCs w:val="24"/>
          <w:u w:val="single"/>
        </w:rPr>
        <w:t>ssignments, Quizzes, and Organizing Student Work</w:t>
      </w:r>
    </w:p>
    <w:p w:rsidR="001D1D5F" w:rsidRDefault="008235C9">
      <w:pPr>
        <w:spacing w:after="0" w:line="240" w:lineRule="auto"/>
        <w:ind w:left="720"/>
        <w:rPr>
          <w:rFonts w:ascii="Calibri" w:eastAsia="MS Mincho" w:hAnsi="Calibri" w:cs="Times New Roman"/>
          <w:sz w:val="24"/>
          <w:szCs w:val="24"/>
        </w:rPr>
      </w:pPr>
      <w:r>
        <w:rPr>
          <w:rFonts w:eastAsia="MS Mincho" w:cs="Times New Roman"/>
          <w:sz w:val="24"/>
          <w:szCs w:val="24"/>
        </w:rPr>
        <w:t>Part 2 builds on the basics offered in Part 1 and focuses on how to create assignments and quizzes, track student work, and manage student folders.</w:t>
      </w:r>
    </w:p>
    <w:p w:rsidR="001D1D5F" w:rsidRDefault="001D1D5F">
      <w:pPr>
        <w:spacing w:after="0" w:line="240" w:lineRule="auto"/>
        <w:ind w:left="720"/>
        <w:rPr>
          <w:rFonts w:ascii="Calibri" w:eastAsia="MS Mincho" w:hAnsi="Calibri" w:cs="Times New Roman"/>
          <w:sz w:val="24"/>
          <w:szCs w:val="24"/>
        </w:rPr>
      </w:pPr>
    </w:p>
    <w:p w:rsidR="001D1D5F" w:rsidRDefault="001D1D5F">
      <w:pPr>
        <w:spacing w:after="0" w:line="240" w:lineRule="auto"/>
      </w:pPr>
    </w:p>
    <w:sectPr w:rsidR="001D1D5F">
      <w:headerReference w:type="default" r:id="rId22"/>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C9" w:rsidRDefault="008235C9">
      <w:pPr>
        <w:spacing w:after="0" w:line="240" w:lineRule="auto"/>
      </w:pPr>
      <w:r>
        <w:separator/>
      </w:r>
    </w:p>
  </w:endnote>
  <w:endnote w:type="continuationSeparator" w:id="0">
    <w:p w:rsidR="008235C9" w:rsidRDefault="0082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C9" w:rsidRDefault="008235C9">
      <w:pPr>
        <w:spacing w:after="0" w:line="240" w:lineRule="auto"/>
      </w:pPr>
      <w:r>
        <w:separator/>
      </w:r>
    </w:p>
  </w:footnote>
  <w:footnote w:type="continuationSeparator" w:id="0">
    <w:p w:rsidR="008235C9" w:rsidRDefault="0082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5F" w:rsidRDefault="008235C9">
    <w:pPr>
      <w:pStyle w:val="Header"/>
      <w:jc w:val="center"/>
    </w:pPr>
    <w:r>
      <w:rPr>
        <w:noProof/>
      </w:rPr>
      <w:drawing>
        <wp:inline distT="0" distB="0" distL="0" distR="0">
          <wp:extent cx="916305" cy="588010"/>
          <wp:effectExtent l="0" t="0" r="0" b="0"/>
          <wp:docPr id="4" name="Picture 3" descr="https://lh5.googleusercontent.com/JIwYG0LSmtyQSEGWgxqT_vLdM9gBiaPPWqE4Vo3fgSLl187J52N7f3-QpNfdQAXb9Bwg37tZ-U8LZOwnGrqEKF3alK22lfdbsxw_pRWzlbyhgRnS9jojGMJAzq5yhbkzujPuY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lh5.googleusercontent.com/JIwYG0LSmtyQSEGWgxqT_vLdM9gBiaPPWqE4Vo3fgSLl187J52N7f3-QpNfdQAXb9Bwg37tZ-U8LZOwnGrqEKF3alK22lfdbsxw_pRWzlbyhgRnS9jojGMJAzq5yhbkzujPuYpJI"/>
                  <pic:cNvPicPr>
                    <a:picLocks noChangeAspect="1" noChangeArrowheads="1"/>
                  </pic:cNvPicPr>
                </pic:nvPicPr>
                <pic:blipFill>
                  <a:blip r:embed="rId1"/>
                  <a:stretch>
                    <a:fillRect/>
                  </a:stretch>
                </pic:blipFill>
                <pic:spPr bwMode="auto">
                  <a:xfrm>
                    <a:off x="0" y="0"/>
                    <a:ext cx="916305" cy="588010"/>
                  </a:xfrm>
                  <a:prstGeom prst="rect">
                    <a:avLst/>
                  </a:prstGeom>
                </pic:spPr>
              </pic:pic>
            </a:graphicData>
          </a:graphic>
        </wp:inline>
      </w:drawing>
    </w:r>
  </w:p>
  <w:p w:rsidR="001D1D5F" w:rsidRDefault="001D1D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E082A"/>
    <w:multiLevelType w:val="multilevel"/>
    <w:tmpl w:val="E36681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A585C3A"/>
    <w:multiLevelType w:val="multilevel"/>
    <w:tmpl w:val="D33076C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5F"/>
    <w:rsid w:val="00093EAA"/>
    <w:rsid w:val="001D1D5F"/>
    <w:rsid w:val="005949C5"/>
    <w:rsid w:val="008235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9A9B0-044A-49C2-8B2F-7267A77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7A81"/>
    <w:rPr>
      <w:color w:val="0563C1" w:themeColor="hyperlink"/>
      <w:u w:val="single"/>
    </w:rPr>
  </w:style>
  <w:style w:type="character" w:customStyle="1" w:styleId="HeaderChar">
    <w:name w:val="Header Char"/>
    <w:basedOn w:val="DefaultParagraphFont"/>
    <w:link w:val="Header"/>
    <w:uiPriority w:val="99"/>
    <w:qFormat/>
    <w:rsid w:val="00BF4D7B"/>
  </w:style>
  <w:style w:type="character" w:customStyle="1" w:styleId="FooterChar">
    <w:name w:val="Footer Char"/>
    <w:basedOn w:val="DefaultParagraphFont"/>
    <w:link w:val="Footer"/>
    <w:uiPriority w:val="99"/>
    <w:qFormat/>
    <w:rsid w:val="00BF4D7B"/>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07A81"/>
    <w:pPr>
      <w:ind w:left="720"/>
      <w:contextualSpacing/>
    </w:pPr>
  </w:style>
  <w:style w:type="paragraph" w:styleId="NormalWeb">
    <w:name w:val="Normal (Web)"/>
    <w:basedOn w:val="Normal"/>
    <w:uiPriority w:val="99"/>
    <w:unhideWhenUsed/>
    <w:qFormat/>
    <w:rsid w:val="008E5A1D"/>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F4D7B"/>
    <w:pPr>
      <w:tabs>
        <w:tab w:val="center" w:pos="4680"/>
        <w:tab w:val="right" w:pos="9360"/>
      </w:tabs>
      <w:spacing w:after="0" w:line="240" w:lineRule="auto"/>
    </w:pPr>
  </w:style>
  <w:style w:type="paragraph" w:styleId="Footer">
    <w:name w:val="footer"/>
    <w:basedOn w:val="Normal"/>
    <w:link w:val="FooterChar"/>
    <w:uiPriority w:val="99"/>
    <w:unhideWhenUsed/>
    <w:rsid w:val="00BF4D7B"/>
    <w:pPr>
      <w:tabs>
        <w:tab w:val="center" w:pos="4680"/>
        <w:tab w:val="right" w:pos="9360"/>
      </w:tabs>
      <w:spacing w:after="0" w:line="240" w:lineRule="auto"/>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59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MhAuy7qJ4iDT6oiAA" TargetMode="External"/><Relationship Id="rId13" Type="http://schemas.openxmlformats.org/officeDocument/2006/relationships/hyperlink" Target="https://forms.gle/6etWwwy54Lrj4mN7A" TargetMode="External"/><Relationship Id="rId18" Type="http://schemas.openxmlformats.org/officeDocument/2006/relationships/hyperlink" Target="https://forms.gle/NoQPcsxuKn1NS97Z6" TargetMode="External"/><Relationship Id="rId3" Type="http://schemas.openxmlformats.org/officeDocument/2006/relationships/settings" Target="settings.xml"/><Relationship Id="rId21" Type="http://schemas.openxmlformats.org/officeDocument/2006/relationships/hyperlink" Target="https://forms.gle/G89ERs4kEVbDoy9e9" TargetMode="External"/><Relationship Id="rId7" Type="http://schemas.openxmlformats.org/officeDocument/2006/relationships/image" Target="media/image1.png"/><Relationship Id="rId12" Type="http://schemas.openxmlformats.org/officeDocument/2006/relationships/hyperlink" Target="https://forms.gle/7daYHWVdCwqPxPR17" TargetMode="External"/><Relationship Id="rId17" Type="http://schemas.openxmlformats.org/officeDocument/2006/relationships/hyperlink" Target="https://forms.gle/NoQPcsxuKn1NS97Z6" TargetMode="External"/><Relationship Id="rId2" Type="http://schemas.openxmlformats.org/officeDocument/2006/relationships/styles" Target="styles.xml"/><Relationship Id="rId16" Type="http://schemas.openxmlformats.org/officeDocument/2006/relationships/hyperlink" Target="https://forms.gle/bEdbuJVrbHPYewy99" TargetMode="External"/><Relationship Id="rId20" Type="http://schemas.openxmlformats.org/officeDocument/2006/relationships/hyperlink" Target="https://forms.gle/G89ERs4kEVbDoy9e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literacyassessment.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gle/gHrWZ5aPwEeJkMTq6" TargetMode="External"/><Relationship Id="rId23" Type="http://schemas.openxmlformats.org/officeDocument/2006/relationships/fontTable" Target="fontTable.xml"/><Relationship Id="rId10" Type="http://schemas.openxmlformats.org/officeDocument/2006/relationships/hyperlink" Target="https://forms.gle/7KS3A1WUN2QS8Jkw5" TargetMode="External"/><Relationship Id="rId19" Type="http://schemas.openxmlformats.org/officeDocument/2006/relationships/hyperlink" Target="https://forms.gle/G89ERs4kEVbDoy9e9" TargetMode="External"/><Relationship Id="rId4" Type="http://schemas.openxmlformats.org/officeDocument/2006/relationships/webSettings" Target="webSettings.xml"/><Relationship Id="rId9" Type="http://schemas.openxmlformats.org/officeDocument/2006/relationships/hyperlink" Target="https://forms.gle/4A5eVybRKSSBbgwH9" TargetMode="External"/><Relationship Id="rId14" Type="http://schemas.openxmlformats.org/officeDocument/2006/relationships/hyperlink" Target="https://forms.gle/NXZeAnnAs31JHWeR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Teller</dc:creator>
  <dc:description/>
  <cp:lastModifiedBy>Ruzica Banovic</cp:lastModifiedBy>
  <cp:revision>2</cp:revision>
  <dcterms:created xsi:type="dcterms:W3CDTF">2020-09-25T13:39:00Z</dcterms:created>
  <dcterms:modified xsi:type="dcterms:W3CDTF">2020-09-25T13:39:00Z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