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A6E" w:rsidRPr="000250CB" w:rsidRDefault="00B57A6E" w:rsidP="000250CB">
      <w:pPr>
        <w:rPr>
          <w:rFonts w:asciiTheme="minorHAnsi" w:eastAsia="Calibri" w:hAnsiTheme="minorHAnsi" w:cstheme="minorHAnsi"/>
        </w:rPr>
      </w:pPr>
      <w:bookmarkStart w:id="0" w:name="_GoBack"/>
      <w:bookmarkEnd w:id="0"/>
    </w:p>
    <w:p w:rsidR="00B57A6E" w:rsidRPr="00FE3F2A" w:rsidRDefault="00D17C34">
      <w:pPr>
        <w:rPr>
          <w:rFonts w:asciiTheme="minorHAnsi" w:eastAsia="Calibri" w:hAnsiTheme="minorHAnsi" w:cstheme="minorHAnsi"/>
        </w:rPr>
      </w:pPr>
      <w:r w:rsidRPr="00FE3F2A">
        <w:rPr>
          <w:rFonts w:asciiTheme="minorHAnsi" w:eastAsia="Calibri" w:hAnsiTheme="minorHAnsi" w:cstheme="minorHAnsi"/>
        </w:rPr>
        <w:t xml:space="preserve">This document was developed by the </w:t>
      </w:r>
      <w:r w:rsidR="00227A29" w:rsidRPr="00FE3F2A">
        <w:rPr>
          <w:rFonts w:asciiTheme="minorHAnsi" w:eastAsia="Calibri" w:hAnsiTheme="minorHAnsi" w:cstheme="minorHAnsi"/>
        </w:rPr>
        <w:t>SABES Program Support PD Center. It draws on prior</w:t>
      </w:r>
      <w:r w:rsidRPr="00FE3F2A">
        <w:rPr>
          <w:rFonts w:asciiTheme="minorHAnsi" w:eastAsia="Calibri" w:hAnsiTheme="minorHAnsi" w:cstheme="minorHAnsi"/>
        </w:rPr>
        <w:t xml:space="preserve"> </w:t>
      </w:r>
      <w:r w:rsidR="001B556F">
        <w:rPr>
          <w:rFonts w:asciiTheme="minorHAnsi" w:eastAsia="Calibri" w:hAnsiTheme="minorHAnsi" w:cstheme="minorHAnsi"/>
        </w:rPr>
        <w:t>Adult and Community Learning Services (</w:t>
      </w:r>
      <w:r w:rsidRPr="00FE3F2A">
        <w:rPr>
          <w:rFonts w:asciiTheme="minorHAnsi" w:eastAsia="Calibri" w:hAnsiTheme="minorHAnsi" w:cstheme="minorHAnsi"/>
        </w:rPr>
        <w:t>ACLS</w:t>
      </w:r>
      <w:r w:rsidR="001B556F">
        <w:rPr>
          <w:rFonts w:asciiTheme="minorHAnsi" w:eastAsia="Calibri" w:hAnsiTheme="minorHAnsi" w:cstheme="minorHAnsi"/>
        </w:rPr>
        <w:t>)</w:t>
      </w:r>
      <w:r w:rsidRPr="00FE3F2A">
        <w:rPr>
          <w:rFonts w:asciiTheme="minorHAnsi" w:eastAsia="Calibri" w:hAnsiTheme="minorHAnsi" w:cstheme="minorHAnsi"/>
        </w:rPr>
        <w:t xml:space="preserve"> guidance documents (</w:t>
      </w:r>
      <w:r w:rsidR="00165EF7" w:rsidRPr="00165EF7">
        <w:rPr>
          <w:rFonts w:asciiTheme="minorHAnsi" w:eastAsia="Calibri" w:hAnsiTheme="minorHAnsi" w:cstheme="minorHAnsi"/>
          <w:i/>
          <w:iCs/>
        </w:rPr>
        <w:t>Indicators of Effective Advising</w:t>
      </w:r>
      <w:r w:rsidRPr="00FE3F2A">
        <w:rPr>
          <w:rFonts w:asciiTheme="minorHAnsi" w:eastAsia="Calibri" w:hAnsiTheme="minorHAnsi" w:cstheme="minorHAnsi"/>
        </w:rPr>
        <w:t xml:space="preserve">, </w:t>
      </w:r>
      <w:r w:rsidR="003E55C7">
        <w:rPr>
          <w:rFonts w:asciiTheme="minorHAnsi" w:eastAsia="Calibri" w:hAnsiTheme="minorHAnsi" w:cstheme="minorHAnsi"/>
          <w:i/>
          <w:iCs/>
        </w:rPr>
        <w:t xml:space="preserve">Guide for Completing the Student </w:t>
      </w:r>
      <w:r w:rsidR="00165EF7" w:rsidRPr="00165EF7">
        <w:rPr>
          <w:rFonts w:asciiTheme="minorHAnsi" w:eastAsia="Calibri" w:hAnsiTheme="minorHAnsi" w:cstheme="minorHAnsi"/>
          <w:i/>
          <w:iCs/>
        </w:rPr>
        <w:t>Education and Career Plan</w:t>
      </w:r>
      <w:r w:rsidR="00227A29" w:rsidRPr="00FE3F2A">
        <w:rPr>
          <w:rFonts w:asciiTheme="minorHAnsi" w:eastAsia="Calibri" w:hAnsiTheme="minorHAnsi" w:cstheme="minorHAnsi"/>
        </w:rPr>
        <w:t xml:space="preserve">) as well other </w:t>
      </w:r>
      <w:r w:rsidRPr="00FE3F2A">
        <w:rPr>
          <w:rFonts w:asciiTheme="minorHAnsi" w:eastAsia="Calibri" w:hAnsiTheme="minorHAnsi" w:cstheme="minorHAnsi"/>
        </w:rPr>
        <w:t>evidence</w:t>
      </w:r>
      <w:r w:rsidR="00CA1E64">
        <w:rPr>
          <w:rFonts w:asciiTheme="minorHAnsi" w:eastAsia="Calibri" w:hAnsiTheme="minorHAnsi" w:cstheme="minorHAnsi"/>
        </w:rPr>
        <w:t>-</w:t>
      </w:r>
      <w:r w:rsidRPr="00FE3F2A">
        <w:rPr>
          <w:rFonts w:asciiTheme="minorHAnsi" w:eastAsia="Calibri" w:hAnsiTheme="minorHAnsi" w:cstheme="minorHAnsi"/>
        </w:rPr>
        <w:t>based</w:t>
      </w:r>
      <w:r w:rsidR="00CA1E64">
        <w:rPr>
          <w:rFonts w:asciiTheme="minorHAnsi" w:eastAsia="Calibri" w:hAnsiTheme="minorHAnsi" w:cstheme="minorHAnsi"/>
        </w:rPr>
        <w:t xml:space="preserve"> </w:t>
      </w:r>
      <w:r w:rsidRPr="00FE3F2A">
        <w:rPr>
          <w:rFonts w:asciiTheme="minorHAnsi" w:eastAsia="Calibri" w:hAnsiTheme="minorHAnsi" w:cstheme="minorHAnsi"/>
        </w:rPr>
        <w:t>practices and professional wisdom.</w:t>
      </w:r>
    </w:p>
    <w:p w:rsidR="00B57A6E" w:rsidRPr="00FE3F2A" w:rsidRDefault="00B57A6E">
      <w:pPr>
        <w:rPr>
          <w:rFonts w:asciiTheme="minorHAnsi" w:eastAsia="Calibri" w:hAnsiTheme="minorHAnsi" w:cstheme="minorHAnsi"/>
        </w:rPr>
      </w:pPr>
    </w:p>
    <w:p w:rsidR="00B57A6E" w:rsidRPr="00FE3F2A" w:rsidRDefault="00BE0A23">
      <w:pPr>
        <w:rPr>
          <w:rFonts w:asciiTheme="minorHAnsi" w:eastAsia="Calibri" w:hAnsiTheme="minorHAnsi" w:cstheme="minorHAnsi"/>
        </w:rPr>
      </w:pPr>
      <w:r w:rsidRPr="00FE3F2A">
        <w:rPr>
          <w:rFonts w:asciiTheme="minorHAnsi" w:eastAsia="Calibri" w:hAnsiTheme="minorHAnsi" w:cstheme="minorHAnsi"/>
        </w:rPr>
        <w:t>The intended audience is</w:t>
      </w:r>
      <w:r w:rsidR="00D17C34" w:rsidRPr="00FE3F2A">
        <w:rPr>
          <w:rFonts w:asciiTheme="minorHAnsi" w:eastAsia="Calibri" w:hAnsiTheme="minorHAnsi" w:cstheme="minorHAnsi"/>
        </w:rPr>
        <w:t xml:space="preserve"> program</w:t>
      </w:r>
      <w:r w:rsidR="00A71070">
        <w:rPr>
          <w:rFonts w:asciiTheme="minorHAnsi" w:eastAsia="Calibri" w:hAnsiTheme="minorHAnsi" w:cstheme="minorHAnsi"/>
        </w:rPr>
        <w:t xml:space="preserve"> coordinators</w:t>
      </w:r>
      <w:r w:rsidR="00D17C34" w:rsidRPr="00FE3F2A">
        <w:rPr>
          <w:rFonts w:asciiTheme="minorHAnsi" w:eastAsia="Calibri" w:hAnsiTheme="minorHAnsi" w:cstheme="minorHAnsi"/>
        </w:rPr>
        <w:t>, advisors, and the entire program staff</w:t>
      </w:r>
      <w:r w:rsidRPr="00FE3F2A">
        <w:rPr>
          <w:rFonts w:asciiTheme="minorHAnsi" w:eastAsia="Calibri" w:hAnsiTheme="minorHAnsi" w:cstheme="minorHAnsi"/>
        </w:rPr>
        <w:t xml:space="preserve">, </w:t>
      </w:r>
      <w:r w:rsidR="003E55C7">
        <w:rPr>
          <w:rFonts w:asciiTheme="minorHAnsi" w:eastAsia="Calibri" w:hAnsiTheme="minorHAnsi" w:cstheme="minorHAnsi"/>
        </w:rPr>
        <w:t xml:space="preserve">and is meant </w:t>
      </w:r>
      <w:r w:rsidR="00D17C34" w:rsidRPr="00FE3F2A">
        <w:rPr>
          <w:rFonts w:asciiTheme="minorHAnsi" w:eastAsia="Calibri" w:hAnsiTheme="minorHAnsi" w:cstheme="minorHAnsi"/>
        </w:rPr>
        <w:t>to guide reflection, discussion, continuous improvement</w:t>
      </w:r>
      <w:r w:rsidR="00CA1E64">
        <w:rPr>
          <w:rFonts w:asciiTheme="minorHAnsi" w:eastAsia="Calibri" w:hAnsiTheme="minorHAnsi" w:cstheme="minorHAnsi"/>
        </w:rPr>
        <w:t>,</w:t>
      </w:r>
      <w:r w:rsidR="00D17C34" w:rsidRPr="00FE3F2A">
        <w:rPr>
          <w:rFonts w:asciiTheme="minorHAnsi" w:eastAsia="Calibri" w:hAnsiTheme="minorHAnsi" w:cstheme="minorHAnsi"/>
        </w:rPr>
        <w:t xml:space="preserve"> and design of your advising program. It does not reflect the full scope or detail of effective practices that </w:t>
      </w:r>
      <w:r w:rsidR="00227A29" w:rsidRPr="00FE3F2A">
        <w:rPr>
          <w:rFonts w:asciiTheme="minorHAnsi" w:eastAsia="Calibri" w:hAnsiTheme="minorHAnsi" w:cstheme="minorHAnsi"/>
        </w:rPr>
        <w:t>might</w:t>
      </w:r>
      <w:r w:rsidR="00D17C34" w:rsidRPr="00FE3F2A">
        <w:rPr>
          <w:rFonts w:asciiTheme="minorHAnsi" w:eastAsia="Calibri" w:hAnsiTheme="minorHAnsi" w:cstheme="minorHAnsi"/>
        </w:rPr>
        <w:t xml:space="preserve"> be</w:t>
      </w:r>
      <w:r w:rsidR="00227A29" w:rsidRPr="00FE3F2A">
        <w:rPr>
          <w:rFonts w:asciiTheme="minorHAnsi" w:eastAsia="Calibri" w:hAnsiTheme="minorHAnsi" w:cstheme="minorHAnsi"/>
        </w:rPr>
        <w:t xml:space="preserve"> </w:t>
      </w:r>
      <w:r w:rsidR="00D17C34" w:rsidRPr="00FE3F2A">
        <w:rPr>
          <w:rFonts w:asciiTheme="minorHAnsi" w:eastAsia="Calibri" w:hAnsiTheme="minorHAnsi" w:cstheme="minorHAnsi"/>
        </w:rPr>
        <w:t>implemented to achieve IPQ #6, but it provides some key examples.</w:t>
      </w:r>
    </w:p>
    <w:p w:rsidR="00B57A6E" w:rsidRPr="00FE3F2A" w:rsidRDefault="00B57A6E">
      <w:pPr>
        <w:rPr>
          <w:rFonts w:asciiTheme="minorHAnsi" w:eastAsia="Calibri" w:hAnsiTheme="minorHAnsi" w:cstheme="minorHAnsi"/>
        </w:rPr>
      </w:pPr>
    </w:p>
    <w:p w:rsidR="00B57A6E" w:rsidRPr="00FE3F2A" w:rsidRDefault="00D17C34">
      <w:pPr>
        <w:rPr>
          <w:rFonts w:asciiTheme="minorHAnsi" w:eastAsia="Calibri" w:hAnsiTheme="minorHAnsi" w:cstheme="minorHAnsi"/>
          <w:b/>
        </w:rPr>
      </w:pPr>
      <w:r w:rsidRPr="00FE3F2A">
        <w:rPr>
          <w:rFonts w:asciiTheme="minorHAnsi" w:eastAsia="Calibri" w:hAnsiTheme="minorHAnsi" w:cstheme="minorHAnsi"/>
          <w:b/>
        </w:rPr>
        <w:t>Review the practices and add notes about your program:</w:t>
      </w:r>
    </w:p>
    <w:p w:rsidR="00B57A6E" w:rsidRPr="00FE3F2A" w:rsidRDefault="00D17C34">
      <w:pPr>
        <w:numPr>
          <w:ilvl w:val="0"/>
          <w:numId w:val="1"/>
        </w:numPr>
        <w:rPr>
          <w:rFonts w:asciiTheme="minorHAnsi" w:eastAsia="Calibri" w:hAnsiTheme="minorHAnsi" w:cstheme="minorHAnsi"/>
        </w:rPr>
      </w:pPr>
      <w:r w:rsidRPr="00FE3F2A">
        <w:rPr>
          <w:rFonts w:asciiTheme="minorHAnsi" w:eastAsia="Calibri" w:hAnsiTheme="minorHAnsi" w:cstheme="minorHAnsi"/>
        </w:rPr>
        <w:t>What are examples of how you address or implement similar practices?</w:t>
      </w:r>
    </w:p>
    <w:p w:rsidR="00B57A6E" w:rsidRDefault="00D17C34">
      <w:pPr>
        <w:numPr>
          <w:ilvl w:val="0"/>
          <w:numId w:val="1"/>
        </w:numPr>
        <w:rPr>
          <w:rFonts w:asciiTheme="minorHAnsi" w:eastAsia="Calibri" w:hAnsiTheme="minorHAnsi" w:cstheme="minorHAnsi"/>
        </w:rPr>
      </w:pPr>
      <w:r w:rsidRPr="00FE3F2A">
        <w:rPr>
          <w:rFonts w:asciiTheme="minorHAnsi" w:eastAsia="Calibri" w:hAnsiTheme="minorHAnsi" w:cstheme="minorHAnsi"/>
        </w:rPr>
        <w:t>Where could your program make improvements or expand on these practices?</w:t>
      </w:r>
    </w:p>
    <w:p w:rsidR="00F90A3E" w:rsidRDefault="00F90A3E">
      <w:pPr>
        <w:numPr>
          <w:ilvl w:val="0"/>
          <w:numId w:val="1"/>
        </w:num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What questions do you have about how to operationalize these practices?</w:t>
      </w:r>
    </w:p>
    <w:p w:rsidR="00755EDE" w:rsidRPr="00FE3F2A" w:rsidRDefault="00755EDE">
      <w:pPr>
        <w:numPr>
          <w:ilvl w:val="0"/>
          <w:numId w:val="1"/>
        </w:num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What support do you need to implement these practices?</w:t>
      </w:r>
    </w:p>
    <w:p w:rsidR="00B57A6E" w:rsidRPr="00FE3F2A" w:rsidRDefault="00B57A6E">
      <w:pPr>
        <w:rPr>
          <w:rFonts w:asciiTheme="minorHAnsi" w:eastAsia="Calibri" w:hAnsiTheme="minorHAnsi" w:cstheme="minorHAnsi"/>
        </w:rPr>
      </w:pPr>
      <w:bookmarkStart w:id="1" w:name="_heading=h.gjdgxs" w:colFirst="0" w:colLast="0"/>
      <w:bookmarkEnd w:id="1"/>
    </w:p>
    <w:tbl>
      <w:tblPr>
        <w:tblStyle w:val="a"/>
        <w:tblW w:w="13996" w:type="dxa"/>
        <w:tblInd w:w="-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8"/>
        <w:gridCol w:w="6361"/>
        <w:gridCol w:w="29"/>
        <w:gridCol w:w="6628"/>
      </w:tblGrid>
      <w:tr w:rsidR="00834D85" w:rsidRPr="00604A58" w:rsidTr="00CA1E64">
        <w:trPr>
          <w:trHeight w:val="449"/>
          <w:tblHeader/>
        </w:trPr>
        <w:tc>
          <w:tcPr>
            <w:tcW w:w="7368" w:type="dxa"/>
            <w:gridSpan w:val="3"/>
            <w:tcBorders>
              <w:right w:val="single" w:sz="4" w:space="0" w:color="FFFFFF" w:themeColor="background1"/>
            </w:tcBorders>
            <w:shd w:val="clear" w:color="auto" w:fill="1F497D" w:themeFill="text2"/>
          </w:tcPr>
          <w:p w:rsidR="00834D85" w:rsidRPr="00604A58" w:rsidRDefault="00834D85" w:rsidP="00604A58">
            <w:pPr>
              <w:spacing w:before="120" w:after="120"/>
              <w:jc w:val="center"/>
              <w:rPr>
                <w:rFonts w:asciiTheme="minorHAnsi" w:eastAsia="Calibr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604A58">
              <w:rPr>
                <w:rFonts w:asciiTheme="minorHAnsi" w:eastAsia="Calibri" w:hAnsiTheme="minorHAnsi" w:cstheme="minorHAnsi"/>
                <w:b/>
                <w:color w:val="FFFFFF" w:themeColor="background1"/>
                <w:sz w:val="28"/>
                <w:szCs w:val="28"/>
              </w:rPr>
              <w:t>Examples</w:t>
            </w:r>
          </w:p>
        </w:tc>
        <w:tc>
          <w:tcPr>
            <w:tcW w:w="6628" w:type="dxa"/>
            <w:tcBorders>
              <w:left w:val="single" w:sz="4" w:space="0" w:color="FFFFFF" w:themeColor="background1"/>
            </w:tcBorders>
            <w:shd w:val="clear" w:color="auto" w:fill="1F497D" w:themeFill="text2"/>
          </w:tcPr>
          <w:p w:rsidR="00834D85" w:rsidRPr="00604A58" w:rsidRDefault="00834D85" w:rsidP="00604A58">
            <w:pPr>
              <w:spacing w:before="120" w:after="120"/>
              <w:jc w:val="center"/>
              <w:rPr>
                <w:rFonts w:asciiTheme="minorHAnsi" w:eastAsia="Calibr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604A58">
              <w:rPr>
                <w:rFonts w:asciiTheme="minorHAnsi" w:eastAsia="Calibri" w:hAnsiTheme="minorHAnsi" w:cstheme="minorHAnsi"/>
                <w:b/>
                <w:color w:val="FFFFFF" w:themeColor="background1"/>
                <w:sz w:val="28"/>
                <w:szCs w:val="28"/>
              </w:rPr>
              <w:t>Notes</w:t>
            </w:r>
          </w:p>
        </w:tc>
      </w:tr>
      <w:tr w:rsidR="00B57A6E" w:rsidRPr="00FE3F2A" w:rsidTr="00CA1E64">
        <w:tc>
          <w:tcPr>
            <w:tcW w:w="13996" w:type="dxa"/>
            <w:gridSpan w:val="4"/>
            <w:shd w:val="clear" w:color="auto" w:fill="F2F2F2"/>
          </w:tcPr>
          <w:p w:rsidR="00B57A6E" w:rsidRPr="00FE3F2A" w:rsidRDefault="00D17C34" w:rsidP="00604A58">
            <w:pPr>
              <w:spacing w:before="200" w:after="200"/>
              <w:rPr>
                <w:rFonts w:asciiTheme="minorHAnsi" w:eastAsia="Calibri" w:hAnsiTheme="minorHAnsi" w:cstheme="minorHAnsi"/>
                <w:b/>
                <w:i/>
                <w:sz w:val="24"/>
                <w:szCs w:val="24"/>
              </w:rPr>
            </w:pPr>
            <w:r w:rsidRPr="00FE3F2A">
              <w:rPr>
                <w:rFonts w:asciiTheme="minorHAnsi" w:eastAsia="Calibri" w:hAnsiTheme="minorHAnsi" w:cstheme="minorHAnsi"/>
                <w:b/>
                <w:i/>
                <w:sz w:val="24"/>
                <w:szCs w:val="24"/>
              </w:rPr>
              <w:t>Indicator 6: The program ensures effective and equitable delivery of advising and support services.</w:t>
            </w:r>
          </w:p>
        </w:tc>
      </w:tr>
      <w:tr w:rsidR="00B57A6E" w:rsidRPr="00FE3F2A" w:rsidTr="00CA1E64">
        <w:tc>
          <w:tcPr>
            <w:tcW w:w="13996" w:type="dxa"/>
            <w:gridSpan w:val="4"/>
            <w:shd w:val="clear" w:color="auto" w:fill="F2F2F2"/>
          </w:tcPr>
          <w:p w:rsidR="00B57A6E" w:rsidRPr="00FE3F2A" w:rsidRDefault="00D17C34">
            <w:pPr>
              <w:spacing w:before="200" w:after="200"/>
              <w:rPr>
                <w:rFonts w:asciiTheme="minorHAnsi" w:eastAsia="Calibri" w:hAnsiTheme="minorHAnsi" w:cstheme="minorHAnsi"/>
                <w:b/>
                <w:i/>
                <w:sz w:val="24"/>
                <w:szCs w:val="24"/>
              </w:rPr>
            </w:pPr>
            <w:r w:rsidRPr="00FE3F2A">
              <w:rPr>
                <w:rFonts w:asciiTheme="minorHAnsi" w:eastAsia="Calibri" w:hAnsiTheme="minorHAnsi" w:cstheme="minorHAnsi"/>
                <w:b/>
                <w:i/>
                <w:sz w:val="24"/>
                <w:szCs w:val="24"/>
              </w:rPr>
              <w:t>6.1: Students actively pursue options for postsecondary education, training, and employment based on informed decisions.</w:t>
            </w:r>
          </w:p>
        </w:tc>
      </w:tr>
      <w:tr w:rsidR="006251CE" w:rsidRPr="00FE3F2A" w:rsidTr="003A2613">
        <w:trPr>
          <w:trHeight w:val="683"/>
        </w:trPr>
        <w:tc>
          <w:tcPr>
            <w:tcW w:w="978" w:type="dxa"/>
            <w:vMerge w:val="restart"/>
            <w:shd w:val="clear" w:color="auto" w:fill="EAF1DD" w:themeFill="accent3" w:themeFillTint="33"/>
            <w:textDirection w:val="btLr"/>
            <w:vAlign w:val="center"/>
          </w:tcPr>
          <w:p w:rsidR="006251CE" w:rsidRPr="00834D85" w:rsidRDefault="00834D85" w:rsidP="00834D85">
            <w:pPr>
              <w:spacing w:before="200" w:after="200"/>
              <w:ind w:left="113" w:right="113"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834D85">
              <w:rPr>
                <w:rFonts w:asciiTheme="minorHAnsi" w:eastAsia="Calibri" w:hAnsiTheme="minorHAnsi" w:cstheme="minorHAnsi"/>
                <w:b/>
                <w:sz w:val="28"/>
                <w:szCs w:val="28"/>
              </w:rPr>
              <w:t>Director and/or Coordinator</w:t>
            </w:r>
          </w:p>
        </w:tc>
        <w:tc>
          <w:tcPr>
            <w:tcW w:w="6361" w:type="dxa"/>
            <w:shd w:val="clear" w:color="auto" w:fill="FFFFFF"/>
          </w:tcPr>
          <w:p w:rsidR="006251CE" w:rsidRPr="00FE3F2A" w:rsidRDefault="006251CE" w:rsidP="006E343D">
            <w:pPr>
              <w:spacing w:before="60" w:after="60"/>
              <w:rPr>
                <w:rFonts w:asciiTheme="minorHAnsi" w:eastAsia="Calibri" w:hAnsiTheme="minorHAnsi" w:cstheme="minorHAnsi"/>
              </w:rPr>
            </w:pPr>
            <w:r w:rsidRPr="00FE3F2A">
              <w:rPr>
                <w:rFonts w:asciiTheme="minorHAnsi" w:eastAsia="Calibri" w:hAnsiTheme="minorHAnsi" w:cstheme="minorHAnsi"/>
                <w:sz w:val="24"/>
                <w:szCs w:val="24"/>
              </w:rPr>
              <w:t>Communicates to staff and students that education and career advising is a core component of the overall program.</w:t>
            </w:r>
          </w:p>
        </w:tc>
        <w:tc>
          <w:tcPr>
            <w:tcW w:w="6657" w:type="dxa"/>
            <w:gridSpan w:val="2"/>
            <w:shd w:val="clear" w:color="auto" w:fill="FFFFFF"/>
          </w:tcPr>
          <w:p w:rsidR="006251CE" w:rsidRPr="00FE3F2A" w:rsidRDefault="00625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/>
              <w:ind w:left="720" w:hanging="720"/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6251CE" w:rsidRPr="00FE3F2A" w:rsidTr="00CA1E64">
        <w:tc>
          <w:tcPr>
            <w:tcW w:w="978" w:type="dxa"/>
            <w:vMerge/>
            <w:shd w:val="clear" w:color="auto" w:fill="EAF1DD" w:themeFill="accent3" w:themeFillTint="33"/>
          </w:tcPr>
          <w:p w:rsidR="006251CE" w:rsidRPr="00FE3F2A" w:rsidRDefault="006251CE">
            <w:pPr>
              <w:spacing w:before="200" w:after="200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6361" w:type="dxa"/>
            <w:shd w:val="clear" w:color="auto" w:fill="FFFFFF"/>
          </w:tcPr>
          <w:p w:rsidR="006251CE" w:rsidRPr="00FE3F2A" w:rsidRDefault="006251CE" w:rsidP="006E343D">
            <w:pPr>
              <w:spacing w:before="60" w:after="60"/>
              <w:rPr>
                <w:rFonts w:asciiTheme="minorHAnsi" w:eastAsia="Calibri" w:hAnsiTheme="minorHAnsi" w:cstheme="minorHAnsi"/>
              </w:rPr>
            </w:pPr>
            <w:r w:rsidRPr="00FE3F2A">
              <w:rPr>
                <w:rFonts w:asciiTheme="minorHAnsi" w:eastAsia="Calibri" w:hAnsiTheme="minorHAnsi" w:cstheme="minorHAnsi"/>
                <w:sz w:val="24"/>
                <w:szCs w:val="24"/>
              </w:rPr>
              <w:t>Communicates to staff and students the importance of integrating e</w:t>
            </w:r>
            <w:r w:rsidRPr="00FE3F2A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 xml:space="preserve">ducation and </w:t>
            </w:r>
            <w:r w:rsidRPr="00FE3F2A">
              <w:rPr>
                <w:rFonts w:asciiTheme="minorHAnsi" w:eastAsia="Calibri" w:hAnsiTheme="minorHAnsi" w:cstheme="minorHAnsi"/>
                <w:sz w:val="24"/>
                <w:szCs w:val="24"/>
              </w:rPr>
              <w:t>c</w:t>
            </w:r>
            <w:r w:rsidRPr="00FE3F2A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 xml:space="preserve">areer </w:t>
            </w:r>
            <w:r w:rsidRPr="00FE3F2A">
              <w:rPr>
                <w:rFonts w:asciiTheme="minorHAnsi" w:eastAsia="Calibri" w:hAnsiTheme="minorHAnsi" w:cstheme="minorHAnsi"/>
                <w:sz w:val="24"/>
                <w:szCs w:val="24"/>
              </w:rPr>
              <w:t>p</w:t>
            </w:r>
            <w:r w:rsidRPr="00FE3F2A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 xml:space="preserve">lanning into curriculum and classroom </w:t>
            </w:r>
            <w:r w:rsidRPr="00FE3F2A">
              <w:rPr>
                <w:rFonts w:asciiTheme="minorHAnsi" w:eastAsia="Calibri" w:hAnsiTheme="minorHAnsi" w:cstheme="minorHAnsi"/>
                <w:sz w:val="24"/>
                <w:szCs w:val="24"/>
              </w:rPr>
              <w:t>activities.</w:t>
            </w:r>
          </w:p>
        </w:tc>
        <w:tc>
          <w:tcPr>
            <w:tcW w:w="6657" w:type="dxa"/>
            <w:gridSpan w:val="2"/>
            <w:shd w:val="clear" w:color="auto" w:fill="FFFFFF"/>
          </w:tcPr>
          <w:p w:rsidR="006251CE" w:rsidRPr="00FE3F2A" w:rsidRDefault="00625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/>
              <w:ind w:left="720" w:hanging="720"/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6251CE" w:rsidRPr="00FE3F2A" w:rsidTr="00CA1E64">
        <w:tc>
          <w:tcPr>
            <w:tcW w:w="978" w:type="dxa"/>
            <w:vMerge/>
            <w:shd w:val="clear" w:color="auto" w:fill="EAF1DD" w:themeFill="accent3" w:themeFillTint="33"/>
          </w:tcPr>
          <w:p w:rsidR="006251CE" w:rsidRPr="00FE3F2A" w:rsidRDefault="006251CE">
            <w:pPr>
              <w:spacing w:before="200" w:after="200"/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6361" w:type="dxa"/>
            <w:shd w:val="clear" w:color="auto" w:fill="FFFFFF"/>
          </w:tcPr>
          <w:p w:rsidR="006251CE" w:rsidRPr="00FE3F2A" w:rsidRDefault="006251CE" w:rsidP="009953E5">
            <w:pPr>
              <w:spacing w:before="60" w:after="60"/>
              <w:rPr>
                <w:rFonts w:asciiTheme="minorHAnsi" w:eastAsia="Calibri" w:hAnsiTheme="minorHAnsi" w:cstheme="minorHAnsi"/>
                <w:color w:val="000000"/>
              </w:rPr>
            </w:pPr>
            <w:r w:rsidRPr="00FE3F2A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P</w:t>
            </w:r>
            <w:r w:rsidRPr="00FE3F2A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rovides time </w:t>
            </w:r>
            <w:r w:rsidRPr="00FE3F2A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 xml:space="preserve">for advisor(s) and teachers to work together to encourage </w:t>
            </w:r>
            <w:r w:rsidR="003A2613" w:rsidRPr="00FE3F2A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college</w:t>
            </w:r>
            <w:r w:rsidR="009953E5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 xml:space="preserve"> and career </w:t>
            </w:r>
            <w:r w:rsidRPr="00FE3F2A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readiness for all students, including integrated, contextualized curriculum that brings education and career planning skills into the classroom.</w:t>
            </w:r>
          </w:p>
        </w:tc>
        <w:tc>
          <w:tcPr>
            <w:tcW w:w="6657" w:type="dxa"/>
            <w:gridSpan w:val="2"/>
            <w:shd w:val="clear" w:color="auto" w:fill="FFFFFF"/>
          </w:tcPr>
          <w:p w:rsidR="006251CE" w:rsidRPr="00FE3F2A" w:rsidRDefault="00625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/>
              <w:ind w:left="720" w:hanging="720"/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6251CE" w:rsidRPr="00FE3F2A" w:rsidTr="00CA1E64">
        <w:tc>
          <w:tcPr>
            <w:tcW w:w="978" w:type="dxa"/>
            <w:vMerge/>
            <w:shd w:val="clear" w:color="auto" w:fill="EAF1DD" w:themeFill="accent3" w:themeFillTint="33"/>
          </w:tcPr>
          <w:p w:rsidR="006251CE" w:rsidRPr="00FE3F2A" w:rsidRDefault="006251CE">
            <w:pPr>
              <w:spacing w:before="200" w:after="200"/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6361" w:type="dxa"/>
            <w:shd w:val="clear" w:color="auto" w:fill="FFFFFF"/>
          </w:tcPr>
          <w:p w:rsidR="006251CE" w:rsidRPr="00FE3F2A" w:rsidRDefault="006251CE" w:rsidP="000250CB">
            <w:pPr>
              <w:keepLines/>
              <w:spacing w:before="60" w:after="60"/>
              <w:rPr>
                <w:rFonts w:asciiTheme="minorHAnsi" w:eastAsia="Calibri" w:hAnsiTheme="minorHAnsi" w:cstheme="minorHAnsi"/>
                <w:color w:val="000000"/>
              </w:rPr>
            </w:pPr>
            <w:r w:rsidRPr="00FE3F2A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Introduces advisor</w:t>
            </w:r>
            <w:r w:rsidR="003A2613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(s)</w:t>
            </w:r>
            <w:r w:rsidRPr="00FE3F2A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 xml:space="preserve"> to local </w:t>
            </w:r>
            <w:r w:rsidR="003E55C7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Workforce Innovation and Opportunity Act (</w:t>
            </w:r>
            <w:r w:rsidRPr="00FE3F2A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WIOA</w:t>
            </w:r>
            <w:r w:rsidR="003E55C7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)</w:t>
            </w:r>
            <w:r w:rsidR="003A2613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FE3F2A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 xml:space="preserve">partners and connects them to their </w:t>
            </w:r>
            <w:r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 xml:space="preserve">local workforce area </w:t>
            </w:r>
            <w:r w:rsidRPr="00FE3F2A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Outstation</w:t>
            </w:r>
            <w:r w:rsidR="003E55C7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ing</w:t>
            </w:r>
            <w:r w:rsidRPr="00FE3F2A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 xml:space="preserve"> Coordinator.</w:t>
            </w:r>
          </w:p>
        </w:tc>
        <w:tc>
          <w:tcPr>
            <w:tcW w:w="6657" w:type="dxa"/>
            <w:gridSpan w:val="2"/>
            <w:shd w:val="clear" w:color="auto" w:fill="FFFFFF"/>
          </w:tcPr>
          <w:p w:rsidR="006251CE" w:rsidRPr="00FE3F2A" w:rsidRDefault="00625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/>
              <w:ind w:left="720" w:hanging="720"/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6251CE" w:rsidRPr="00FE3F2A" w:rsidTr="00CA1E64">
        <w:tc>
          <w:tcPr>
            <w:tcW w:w="978" w:type="dxa"/>
            <w:vMerge/>
            <w:shd w:val="clear" w:color="auto" w:fill="EAF1DD" w:themeFill="accent3" w:themeFillTint="33"/>
          </w:tcPr>
          <w:p w:rsidR="006251CE" w:rsidRPr="00FE3F2A" w:rsidRDefault="006251CE" w:rsidP="00801DC9">
            <w:pPr>
              <w:spacing w:before="200" w:after="200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6361" w:type="dxa"/>
            <w:shd w:val="clear" w:color="auto" w:fill="FFFFFF"/>
          </w:tcPr>
          <w:p w:rsidR="006251CE" w:rsidRPr="00FE3F2A" w:rsidRDefault="006251CE" w:rsidP="006E343D">
            <w:pPr>
              <w:spacing w:before="60" w:after="60"/>
              <w:rPr>
                <w:rFonts w:asciiTheme="minorHAnsi" w:eastAsia="Calibri" w:hAnsiTheme="minorHAnsi" w:cstheme="minorHAnsi"/>
              </w:rPr>
            </w:pPr>
            <w:r w:rsidRPr="00FE3F2A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Seeks and </w:t>
            </w: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provides </w:t>
            </w:r>
            <w:r w:rsidRPr="00FE3F2A">
              <w:rPr>
                <w:rFonts w:asciiTheme="minorHAnsi" w:eastAsia="Calibri" w:hAnsiTheme="minorHAnsi" w:cstheme="minorHAnsi"/>
                <w:sz w:val="24"/>
                <w:szCs w:val="24"/>
              </w:rPr>
              <w:t>professional development opportunities for advisor</w:t>
            </w:r>
            <w:r w:rsidR="000250CB">
              <w:rPr>
                <w:rFonts w:asciiTheme="minorHAnsi" w:eastAsia="Calibri" w:hAnsiTheme="minorHAnsi" w:cstheme="minorHAnsi"/>
                <w:sz w:val="24"/>
                <w:szCs w:val="24"/>
              </w:rPr>
              <w:t>(s)</w:t>
            </w:r>
            <w:r w:rsidRPr="00FE3F2A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and teachers to build their knowledge and skills in these areas.</w:t>
            </w:r>
          </w:p>
        </w:tc>
        <w:tc>
          <w:tcPr>
            <w:tcW w:w="6657" w:type="dxa"/>
            <w:gridSpan w:val="2"/>
            <w:shd w:val="clear" w:color="auto" w:fill="FFFFFF"/>
          </w:tcPr>
          <w:p w:rsidR="006251CE" w:rsidRPr="00FE3F2A" w:rsidRDefault="00625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/>
              <w:ind w:left="720" w:hanging="720"/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6251CE" w:rsidRPr="00FE3F2A" w:rsidTr="00CA1E64">
        <w:tc>
          <w:tcPr>
            <w:tcW w:w="978" w:type="dxa"/>
            <w:vMerge w:val="restart"/>
            <w:shd w:val="clear" w:color="auto" w:fill="DAEEF3" w:themeFill="accent5" w:themeFillTint="33"/>
            <w:textDirection w:val="btLr"/>
          </w:tcPr>
          <w:p w:rsidR="00834D85" w:rsidRPr="00834D85" w:rsidRDefault="006251CE" w:rsidP="00834D85">
            <w:pPr>
              <w:spacing w:before="200" w:after="200"/>
              <w:ind w:left="113" w:right="113"/>
              <w:jc w:val="center"/>
              <w:rPr>
                <w:rFonts w:asciiTheme="minorHAnsi" w:eastAsia="Calibri" w:hAnsiTheme="minorHAnsi" w:cstheme="minorHAnsi"/>
                <w:b/>
                <w:sz w:val="28"/>
                <w:szCs w:val="28"/>
              </w:rPr>
            </w:pPr>
            <w:r w:rsidRPr="00834D85">
              <w:rPr>
                <w:rFonts w:asciiTheme="minorHAnsi" w:eastAsia="Calibri" w:hAnsiTheme="minorHAnsi" w:cstheme="minorHAnsi"/>
                <w:b/>
                <w:sz w:val="28"/>
                <w:szCs w:val="28"/>
              </w:rPr>
              <w:t>Advisor</w:t>
            </w:r>
          </w:p>
        </w:tc>
        <w:tc>
          <w:tcPr>
            <w:tcW w:w="6361" w:type="dxa"/>
            <w:shd w:val="clear" w:color="auto" w:fill="FFFFFF"/>
          </w:tcPr>
          <w:p w:rsidR="006251CE" w:rsidRPr="00FE3F2A" w:rsidRDefault="006251CE" w:rsidP="006E343D">
            <w:pPr>
              <w:spacing w:before="60" w:after="60"/>
              <w:rPr>
                <w:rFonts w:asciiTheme="minorHAnsi" w:eastAsia="Calibri" w:hAnsiTheme="minorHAnsi" w:cstheme="minorHAnsi"/>
              </w:rPr>
            </w:pPr>
            <w:r w:rsidRPr="00FE3F2A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Meets with students individually and in groups, initially and over time, to help </w:t>
            </w:r>
            <w:r w:rsidR="003A2613">
              <w:rPr>
                <w:rFonts w:asciiTheme="minorHAnsi" w:eastAsia="Calibri" w:hAnsiTheme="minorHAnsi" w:cstheme="minorHAnsi"/>
                <w:sz w:val="24"/>
                <w:szCs w:val="24"/>
              </w:rPr>
              <w:t>them</w:t>
            </w:r>
            <w:r w:rsidR="003A2613" w:rsidRPr="00FE3F2A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r w:rsidRPr="00FE3F2A">
              <w:rPr>
                <w:rFonts w:asciiTheme="minorHAnsi" w:eastAsia="Calibri" w:hAnsiTheme="minorHAnsi" w:cstheme="minorHAnsi"/>
                <w:sz w:val="24"/>
                <w:szCs w:val="24"/>
              </w:rPr>
              <w:t>identify and achieve authentic goals.</w:t>
            </w:r>
          </w:p>
        </w:tc>
        <w:tc>
          <w:tcPr>
            <w:tcW w:w="6657" w:type="dxa"/>
            <w:gridSpan w:val="2"/>
            <w:shd w:val="clear" w:color="auto" w:fill="FFFFFF"/>
          </w:tcPr>
          <w:p w:rsidR="006251CE" w:rsidRPr="00FE3F2A" w:rsidRDefault="00625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/>
              <w:ind w:left="720" w:hanging="720"/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6251CE" w:rsidRPr="00FE3F2A" w:rsidTr="00CA1E64">
        <w:tc>
          <w:tcPr>
            <w:tcW w:w="978" w:type="dxa"/>
            <w:vMerge/>
            <w:shd w:val="clear" w:color="auto" w:fill="DAEEF3" w:themeFill="accent5" w:themeFillTint="33"/>
          </w:tcPr>
          <w:p w:rsidR="006251CE" w:rsidRPr="00FE3F2A" w:rsidRDefault="006251CE">
            <w:pPr>
              <w:spacing w:before="200" w:after="200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6361" w:type="dxa"/>
            <w:shd w:val="clear" w:color="auto" w:fill="FFFFFF"/>
          </w:tcPr>
          <w:p w:rsidR="006251CE" w:rsidRPr="00FE3F2A" w:rsidRDefault="006251CE" w:rsidP="006E343D">
            <w:pPr>
              <w:spacing w:before="60" w:after="60"/>
              <w:rPr>
                <w:rFonts w:asciiTheme="minorHAnsi" w:eastAsia="Calibri" w:hAnsiTheme="minorHAnsi" w:cstheme="minorHAnsi"/>
              </w:rPr>
            </w:pPr>
            <w:r w:rsidRPr="00FE3F2A">
              <w:rPr>
                <w:rFonts w:asciiTheme="minorHAnsi" w:eastAsia="Calibri" w:hAnsiTheme="minorHAnsi" w:cstheme="minorHAnsi"/>
                <w:sz w:val="24"/>
                <w:szCs w:val="24"/>
              </w:rPr>
              <w:t>Is available to teachers when they have concerns</w:t>
            </w:r>
            <w:r w:rsidR="003A2613" w:rsidRPr="00FE3F2A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to share</w:t>
            </w:r>
            <w:r w:rsidRPr="00FE3F2A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about students.</w:t>
            </w:r>
          </w:p>
        </w:tc>
        <w:tc>
          <w:tcPr>
            <w:tcW w:w="6657" w:type="dxa"/>
            <w:gridSpan w:val="2"/>
            <w:shd w:val="clear" w:color="auto" w:fill="FFFFFF"/>
          </w:tcPr>
          <w:p w:rsidR="006251CE" w:rsidRPr="00FE3F2A" w:rsidRDefault="00625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/>
              <w:ind w:left="720" w:hanging="720"/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6251CE" w:rsidRPr="00FE3F2A" w:rsidTr="00CA1E64">
        <w:tc>
          <w:tcPr>
            <w:tcW w:w="978" w:type="dxa"/>
            <w:vMerge/>
            <w:shd w:val="clear" w:color="auto" w:fill="DAEEF3" w:themeFill="accent5" w:themeFillTint="33"/>
          </w:tcPr>
          <w:p w:rsidR="006251CE" w:rsidRPr="00FE3F2A" w:rsidRDefault="006251CE">
            <w:pPr>
              <w:spacing w:before="200" w:after="200"/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6361" w:type="dxa"/>
            <w:shd w:val="clear" w:color="auto" w:fill="FFFFFF"/>
          </w:tcPr>
          <w:p w:rsidR="006251CE" w:rsidRPr="00FE3F2A" w:rsidRDefault="006251CE" w:rsidP="006E343D">
            <w:pPr>
              <w:spacing w:before="60" w:after="60"/>
              <w:rPr>
                <w:rFonts w:asciiTheme="minorHAnsi" w:eastAsia="Calibri" w:hAnsiTheme="minorHAnsi" w:cstheme="minorHAnsi"/>
                <w:color w:val="000000"/>
              </w:rPr>
            </w:pPr>
            <w:r w:rsidRPr="00FE3F2A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Helps students articulate and break down short</w:t>
            </w:r>
            <w:r w:rsidR="003A2613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-</w:t>
            </w:r>
            <w:r w:rsidRPr="00FE3F2A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 xml:space="preserve"> and long-term goals to develop education and career plans that </w:t>
            </w:r>
            <w:r w:rsidRPr="00FE3F2A">
              <w:rPr>
                <w:rFonts w:asciiTheme="minorHAnsi" w:eastAsia="Calibri" w:hAnsiTheme="minorHAnsi" w:cstheme="minorHAnsi"/>
                <w:sz w:val="24"/>
                <w:szCs w:val="24"/>
              </w:rPr>
              <w:t>are</w:t>
            </w:r>
            <w:r w:rsidRPr="00FE3F2A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 xml:space="preserve"> flexible, culturally sensitive, and always evolving.</w:t>
            </w:r>
          </w:p>
        </w:tc>
        <w:tc>
          <w:tcPr>
            <w:tcW w:w="6657" w:type="dxa"/>
            <w:gridSpan w:val="2"/>
            <w:shd w:val="clear" w:color="auto" w:fill="FFFFFF"/>
          </w:tcPr>
          <w:p w:rsidR="006251CE" w:rsidRPr="00FE3F2A" w:rsidRDefault="00625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/>
              <w:ind w:left="720" w:hanging="720"/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6251CE" w:rsidRPr="00FE3F2A" w:rsidTr="00CA1E64">
        <w:tc>
          <w:tcPr>
            <w:tcW w:w="978" w:type="dxa"/>
            <w:vMerge/>
            <w:shd w:val="clear" w:color="auto" w:fill="DAEEF3" w:themeFill="accent5" w:themeFillTint="33"/>
          </w:tcPr>
          <w:p w:rsidR="006251CE" w:rsidRPr="00FE3F2A" w:rsidRDefault="006251CE" w:rsidP="00AA3376">
            <w:pPr>
              <w:spacing w:before="200" w:after="200"/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6361" w:type="dxa"/>
            <w:shd w:val="clear" w:color="auto" w:fill="FFFFFF"/>
          </w:tcPr>
          <w:p w:rsidR="006251CE" w:rsidRPr="00FE3F2A" w:rsidRDefault="006251CE" w:rsidP="006E343D">
            <w:pPr>
              <w:spacing w:before="60" w:after="60"/>
              <w:rPr>
                <w:rFonts w:asciiTheme="minorHAnsi" w:eastAsia="Calibri" w:hAnsiTheme="minorHAnsi" w:cstheme="minorHAnsi"/>
                <w:color w:val="000000"/>
              </w:rPr>
            </w:pPr>
            <w:r w:rsidRPr="00FE3F2A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 xml:space="preserve">Maintains contact with WIOA partners and </w:t>
            </w:r>
            <w:r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 xml:space="preserve">local workforce area </w:t>
            </w:r>
            <w:r w:rsidRPr="00FE3F2A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Outstation</w:t>
            </w:r>
            <w:r w:rsidR="003E55C7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ing</w:t>
            </w:r>
            <w:r w:rsidRPr="00FE3F2A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 xml:space="preserve"> Coordinator to learn about labor market trends, training and employment opportunities, and to refer students to </w:t>
            </w:r>
            <w:r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 xml:space="preserve">the local </w:t>
            </w:r>
            <w:r w:rsidRPr="00FE3F2A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MassHire</w:t>
            </w:r>
            <w:r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 xml:space="preserve"> Career Center</w:t>
            </w:r>
            <w:r w:rsidRPr="00FE3F2A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, as appropriate.</w:t>
            </w:r>
          </w:p>
        </w:tc>
        <w:tc>
          <w:tcPr>
            <w:tcW w:w="6657" w:type="dxa"/>
            <w:gridSpan w:val="2"/>
            <w:shd w:val="clear" w:color="auto" w:fill="FFFFFF"/>
          </w:tcPr>
          <w:p w:rsidR="006251CE" w:rsidRPr="00FE3F2A" w:rsidRDefault="00625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/>
              <w:ind w:left="720" w:hanging="720"/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86F21" w:rsidRPr="00FE3F2A" w:rsidTr="00CA1E64">
        <w:tc>
          <w:tcPr>
            <w:tcW w:w="978" w:type="dxa"/>
            <w:vMerge w:val="restart"/>
            <w:shd w:val="clear" w:color="auto" w:fill="FDE9D9" w:themeFill="accent6" w:themeFillTint="33"/>
            <w:textDirection w:val="btLr"/>
          </w:tcPr>
          <w:p w:rsidR="00186F21" w:rsidRPr="00186F21" w:rsidRDefault="00186F21" w:rsidP="00186F21">
            <w:pPr>
              <w:spacing w:before="200" w:after="200"/>
              <w:ind w:left="113" w:right="113"/>
              <w:jc w:val="center"/>
              <w:rPr>
                <w:rFonts w:asciiTheme="minorHAnsi" w:eastAsia="Calibri" w:hAnsiTheme="minorHAnsi" w:cstheme="minorHAnsi"/>
                <w:b/>
                <w:sz w:val="28"/>
                <w:szCs w:val="28"/>
              </w:rPr>
            </w:pPr>
            <w:r w:rsidRPr="00186F21">
              <w:rPr>
                <w:rFonts w:asciiTheme="minorHAnsi" w:eastAsia="Calibri" w:hAnsiTheme="minorHAnsi" w:cstheme="minorHAnsi"/>
                <w:b/>
                <w:sz w:val="28"/>
                <w:szCs w:val="28"/>
              </w:rPr>
              <w:t>Advisor and Teachers</w:t>
            </w:r>
          </w:p>
        </w:tc>
        <w:tc>
          <w:tcPr>
            <w:tcW w:w="6361" w:type="dxa"/>
            <w:shd w:val="clear" w:color="auto" w:fill="FFFFFF"/>
          </w:tcPr>
          <w:p w:rsidR="00186F21" w:rsidRPr="00FE3F2A" w:rsidRDefault="00186F21" w:rsidP="006E343D">
            <w:pPr>
              <w:spacing w:before="60" w:after="60"/>
              <w:rPr>
                <w:rFonts w:asciiTheme="minorHAnsi" w:eastAsia="Calibri" w:hAnsiTheme="minorHAnsi" w:cstheme="minorHAnsi"/>
              </w:rPr>
            </w:pPr>
            <w:r w:rsidRPr="00FE3F2A">
              <w:rPr>
                <w:rFonts w:asciiTheme="minorHAnsi" w:eastAsia="Calibri" w:hAnsiTheme="minorHAnsi" w:cstheme="minorHAnsi"/>
                <w:sz w:val="24"/>
                <w:szCs w:val="24"/>
              </w:rPr>
              <w:t>Establish a process for routinely sharing non-confidential case notes relevant to students’ progress.</w:t>
            </w:r>
          </w:p>
        </w:tc>
        <w:tc>
          <w:tcPr>
            <w:tcW w:w="6657" w:type="dxa"/>
            <w:gridSpan w:val="2"/>
            <w:shd w:val="clear" w:color="auto" w:fill="FFFFFF"/>
          </w:tcPr>
          <w:p w:rsidR="00186F21" w:rsidRPr="00FE3F2A" w:rsidRDefault="00186F21">
            <w:pPr>
              <w:spacing w:before="200" w:after="200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186F21" w:rsidRPr="00FE3F2A" w:rsidTr="00CA1E64">
        <w:tc>
          <w:tcPr>
            <w:tcW w:w="978" w:type="dxa"/>
            <w:vMerge/>
            <w:shd w:val="clear" w:color="auto" w:fill="FDE9D9" w:themeFill="accent6" w:themeFillTint="33"/>
          </w:tcPr>
          <w:p w:rsidR="00186F21" w:rsidRPr="00FE3F2A" w:rsidRDefault="00186F21">
            <w:pPr>
              <w:spacing w:before="200" w:after="200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6361" w:type="dxa"/>
            <w:shd w:val="clear" w:color="auto" w:fill="FFFFFF"/>
          </w:tcPr>
          <w:p w:rsidR="00186F21" w:rsidRPr="00FE3F2A" w:rsidRDefault="00186F21" w:rsidP="006E343D">
            <w:pPr>
              <w:spacing w:before="60" w:after="60"/>
              <w:rPr>
                <w:rFonts w:asciiTheme="minorHAnsi" w:eastAsia="Calibri" w:hAnsiTheme="minorHAnsi" w:cstheme="minorHAnsi"/>
              </w:rPr>
            </w:pPr>
            <w:r w:rsidRPr="00FE3F2A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Develop contextualized lessons/integrated curriculum to help students gain education and career planning skills, learn about postsecondary education and training programs, and explore community resources in the context of reading, writing, math, </w:t>
            </w:r>
            <w:r w:rsidR="003A261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and </w:t>
            </w:r>
            <w:r w:rsidRPr="00FE3F2A">
              <w:rPr>
                <w:rFonts w:asciiTheme="minorHAnsi" w:eastAsia="Calibri" w:hAnsiTheme="minorHAnsi" w:cstheme="minorHAnsi"/>
                <w:sz w:val="24"/>
                <w:szCs w:val="24"/>
              </w:rPr>
              <w:t>language instruction.</w:t>
            </w:r>
          </w:p>
        </w:tc>
        <w:tc>
          <w:tcPr>
            <w:tcW w:w="6657" w:type="dxa"/>
            <w:gridSpan w:val="2"/>
            <w:shd w:val="clear" w:color="auto" w:fill="FFFFFF"/>
          </w:tcPr>
          <w:p w:rsidR="00186F21" w:rsidRPr="00FE3F2A" w:rsidRDefault="00186F21">
            <w:pPr>
              <w:spacing w:before="200" w:after="200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186F21" w:rsidRPr="00FE3F2A" w:rsidTr="00CA1E64">
        <w:tc>
          <w:tcPr>
            <w:tcW w:w="978" w:type="dxa"/>
            <w:vMerge/>
            <w:shd w:val="clear" w:color="auto" w:fill="FDE9D9" w:themeFill="accent6" w:themeFillTint="33"/>
          </w:tcPr>
          <w:p w:rsidR="00186F21" w:rsidRPr="00FE3F2A" w:rsidRDefault="00186F21">
            <w:pPr>
              <w:spacing w:before="200" w:after="200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6361" w:type="dxa"/>
            <w:shd w:val="clear" w:color="auto" w:fill="FFFFFF"/>
          </w:tcPr>
          <w:p w:rsidR="00186F21" w:rsidRPr="00FE3F2A" w:rsidRDefault="00186F21" w:rsidP="006E343D">
            <w:pPr>
              <w:spacing w:before="60" w:after="60"/>
              <w:rPr>
                <w:rFonts w:asciiTheme="minorHAnsi" w:eastAsia="Calibri" w:hAnsiTheme="minorHAnsi" w:cstheme="minorHAnsi"/>
              </w:rPr>
            </w:pPr>
            <w:r w:rsidRPr="00FE3F2A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Integrate </w:t>
            </w:r>
            <w:r w:rsidRPr="00FE3F2A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lessons that include field trips to community colleges and MassHire Career Centers and/or invite representatives, including Outstation</w:t>
            </w:r>
            <w:r w:rsidR="003E55C7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ing</w:t>
            </w:r>
            <w:r w:rsidRPr="00FE3F2A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 xml:space="preserve"> Coordinat</w:t>
            </w:r>
            <w:r w:rsidR="003A2613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or,</w:t>
            </w:r>
            <w:r w:rsidRPr="00FE3F2A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 xml:space="preserve"> to visit classes.</w:t>
            </w:r>
          </w:p>
        </w:tc>
        <w:tc>
          <w:tcPr>
            <w:tcW w:w="6657" w:type="dxa"/>
            <w:gridSpan w:val="2"/>
            <w:shd w:val="clear" w:color="auto" w:fill="FFFFFF"/>
          </w:tcPr>
          <w:p w:rsidR="00186F21" w:rsidRPr="00FE3F2A" w:rsidRDefault="00186F21">
            <w:pPr>
              <w:spacing w:before="200" w:after="200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</w:tbl>
    <w:p w:rsidR="0068701C" w:rsidRDefault="0068701C">
      <w:r>
        <w:br w:type="page"/>
      </w:r>
    </w:p>
    <w:tbl>
      <w:tblPr>
        <w:tblStyle w:val="a"/>
        <w:tblW w:w="13668" w:type="dxa"/>
        <w:tblInd w:w="-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7"/>
        <w:gridCol w:w="6215"/>
        <w:gridCol w:w="6446"/>
        <w:gridCol w:w="50"/>
      </w:tblGrid>
      <w:tr w:rsidR="00B57A6E" w:rsidRPr="00FE3F2A" w:rsidTr="009953E5">
        <w:trPr>
          <w:gridAfter w:val="1"/>
          <w:wAfter w:w="50" w:type="dxa"/>
        </w:trPr>
        <w:tc>
          <w:tcPr>
            <w:tcW w:w="13618" w:type="dxa"/>
            <w:gridSpan w:val="3"/>
            <w:shd w:val="clear" w:color="auto" w:fill="F2F2F2"/>
          </w:tcPr>
          <w:p w:rsidR="00B57A6E" w:rsidRPr="00FE3F2A" w:rsidRDefault="00D17C34">
            <w:pPr>
              <w:spacing w:before="200" w:after="200"/>
              <w:rPr>
                <w:rFonts w:asciiTheme="minorHAnsi" w:eastAsia="Calibri" w:hAnsiTheme="minorHAnsi" w:cstheme="minorHAnsi"/>
                <w:b/>
                <w:i/>
                <w:sz w:val="24"/>
                <w:szCs w:val="24"/>
              </w:rPr>
            </w:pPr>
            <w:r w:rsidRPr="00FE3F2A">
              <w:rPr>
                <w:rFonts w:asciiTheme="minorHAnsi" w:eastAsia="Calibri" w:hAnsiTheme="minorHAnsi" w:cstheme="minorHAnsi"/>
                <w:b/>
                <w:i/>
                <w:sz w:val="24"/>
                <w:szCs w:val="24"/>
              </w:rPr>
              <w:lastRenderedPageBreak/>
              <w:t>6.2: The program addresses barriers to participation by referring students to outside social service agencies as needed.</w:t>
            </w:r>
          </w:p>
        </w:tc>
      </w:tr>
      <w:tr w:rsidR="00186F21" w:rsidRPr="00FE3F2A" w:rsidTr="009953E5">
        <w:trPr>
          <w:gridAfter w:val="1"/>
          <w:wAfter w:w="50" w:type="dxa"/>
        </w:trPr>
        <w:tc>
          <w:tcPr>
            <w:tcW w:w="957" w:type="dxa"/>
            <w:vMerge w:val="restart"/>
            <w:shd w:val="clear" w:color="auto" w:fill="EAF1DD" w:themeFill="accent3" w:themeFillTint="33"/>
            <w:textDirection w:val="btLr"/>
            <w:vAlign w:val="center"/>
          </w:tcPr>
          <w:p w:rsidR="007321BD" w:rsidRPr="007321BD" w:rsidRDefault="00186F21">
            <w:pPr>
              <w:pStyle w:val="Bullet1"/>
              <w:tabs>
                <w:tab w:val="left" w:pos="720"/>
              </w:tabs>
              <w:spacing w:before="0"/>
              <w:ind w:left="113" w:right="113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186F21">
              <w:rPr>
                <w:rFonts w:ascii="Calibri" w:hAnsi="Calibri" w:cs="Calibri"/>
                <w:b/>
                <w:sz w:val="28"/>
                <w:szCs w:val="28"/>
              </w:rPr>
              <w:t>Director and/or Coordinator</w:t>
            </w:r>
          </w:p>
        </w:tc>
        <w:tc>
          <w:tcPr>
            <w:tcW w:w="6215" w:type="dxa"/>
            <w:shd w:val="clear" w:color="auto" w:fill="FFFFFF"/>
          </w:tcPr>
          <w:p w:rsidR="00186F21" w:rsidRPr="00EC2A32" w:rsidRDefault="00186F21" w:rsidP="006E343D">
            <w:pPr>
              <w:pStyle w:val="Bullet1"/>
              <w:tabs>
                <w:tab w:val="left" w:pos="720"/>
              </w:tabs>
              <w:spacing w:before="60" w:after="60"/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  <w:r w:rsidRPr="00EC2A32">
              <w:rPr>
                <w:rFonts w:ascii="Calibri" w:eastAsia="Calibri" w:hAnsi="Calibri" w:cs="Calibri"/>
                <w:sz w:val="24"/>
                <w:szCs w:val="24"/>
              </w:rPr>
              <w:t xml:space="preserve">Communicates that all adult education staff are considered mandated reporters and </w:t>
            </w:r>
            <w:r w:rsidRPr="00EC2A32">
              <w:rPr>
                <w:rFonts w:ascii="Calibri" w:hAnsi="Calibri" w:cs="Calibri"/>
                <w:sz w:val="24"/>
                <w:szCs w:val="24"/>
              </w:rPr>
              <w:t xml:space="preserve">are required by law to report cases of suspected abuse and </w:t>
            </w:r>
            <w:r w:rsidRPr="00EC2A32">
              <w:rPr>
                <w:rFonts w:ascii="Calibri" w:eastAsia="Calibri" w:hAnsi="Calibri" w:cs="Calibri"/>
                <w:sz w:val="24"/>
                <w:szCs w:val="24"/>
              </w:rPr>
              <w:t>ha</w:t>
            </w:r>
            <w:r w:rsidR="000250CB"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 w:rsidRPr="00EC2A32">
              <w:rPr>
                <w:rFonts w:ascii="Calibri" w:eastAsia="Calibri" w:hAnsi="Calibri" w:cs="Calibri"/>
                <w:sz w:val="24"/>
                <w:szCs w:val="24"/>
              </w:rPr>
              <w:t xml:space="preserve"> systems in place to contact Department of Children and Families, Disabled Persons Protection Commission, and Executive Office of Elder Affairs</w:t>
            </w:r>
            <w:r w:rsidRPr="00EC2A32">
              <w:rPr>
                <w:rFonts w:ascii="Calibri" w:hAnsi="Calibri" w:cs="Calibri"/>
                <w:sz w:val="24"/>
                <w:szCs w:val="24"/>
              </w:rPr>
              <w:t>, if reports are warranted.</w:t>
            </w:r>
          </w:p>
        </w:tc>
        <w:tc>
          <w:tcPr>
            <w:tcW w:w="6446" w:type="dxa"/>
            <w:shd w:val="clear" w:color="auto" w:fill="FFFFFF"/>
          </w:tcPr>
          <w:p w:rsidR="00186F21" w:rsidRPr="00FE3F2A" w:rsidRDefault="00186F21">
            <w:pPr>
              <w:spacing w:before="200" w:after="200"/>
              <w:rPr>
                <w:rFonts w:asciiTheme="minorHAnsi" w:eastAsia="Calibri" w:hAnsiTheme="minorHAnsi" w:cstheme="minorHAnsi"/>
              </w:rPr>
            </w:pPr>
          </w:p>
        </w:tc>
      </w:tr>
      <w:tr w:rsidR="00186F21" w:rsidRPr="00FE3F2A" w:rsidTr="009953E5">
        <w:tc>
          <w:tcPr>
            <w:tcW w:w="957" w:type="dxa"/>
            <w:vMerge/>
            <w:shd w:val="clear" w:color="auto" w:fill="EAF1DD" w:themeFill="accent3" w:themeFillTint="33"/>
          </w:tcPr>
          <w:p w:rsidR="00186F21" w:rsidRPr="00FE3F2A" w:rsidRDefault="00186F21">
            <w:pPr>
              <w:spacing w:before="200" w:after="200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215" w:type="dxa"/>
            <w:shd w:val="clear" w:color="auto" w:fill="FFFFFF"/>
          </w:tcPr>
          <w:p w:rsidR="00186F21" w:rsidRPr="00FE3F2A" w:rsidRDefault="00186F21" w:rsidP="009953E5">
            <w:pPr>
              <w:spacing w:before="60" w:after="60"/>
              <w:rPr>
                <w:rFonts w:asciiTheme="minorHAnsi" w:eastAsia="Calibri" w:hAnsiTheme="minorHAnsi" w:cstheme="minorHAnsi"/>
                <w:b/>
              </w:rPr>
            </w:pPr>
            <w:r w:rsidRPr="00FE3F2A">
              <w:rPr>
                <w:rFonts w:asciiTheme="minorHAnsi" w:eastAsia="Calibri" w:hAnsiTheme="minorHAnsi" w:cstheme="minorHAnsi"/>
                <w:sz w:val="24"/>
                <w:szCs w:val="24"/>
              </w:rPr>
              <w:t>Recognizes the advisor’s need to build community relationships and encourages work time that is not direct</w:t>
            </w:r>
            <w:r w:rsidR="0068701C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ly </w:t>
            </w:r>
            <w:r w:rsidRPr="00FE3F2A">
              <w:rPr>
                <w:rFonts w:asciiTheme="minorHAnsi" w:eastAsia="Calibri" w:hAnsiTheme="minorHAnsi" w:cstheme="minorHAnsi"/>
                <w:sz w:val="24"/>
                <w:szCs w:val="24"/>
              </w:rPr>
              <w:t>student contact-focused.</w:t>
            </w:r>
          </w:p>
        </w:tc>
        <w:tc>
          <w:tcPr>
            <w:tcW w:w="6496" w:type="dxa"/>
            <w:gridSpan w:val="2"/>
            <w:shd w:val="clear" w:color="auto" w:fill="FFFFFF"/>
          </w:tcPr>
          <w:p w:rsidR="00186F21" w:rsidRPr="00FE3F2A" w:rsidRDefault="00186F21">
            <w:pPr>
              <w:spacing w:before="200" w:after="200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186F21" w:rsidRPr="00FE3F2A" w:rsidTr="009953E5">
        <w:trPr>
          <w:gridAfter w:val="1"/>
          <w:wAfter w:w="50" w:type="dxa"/>
        </w:trPr>
        <w:tc>
          <w:tcPr>
            <w:tcW w:w="957" w:type="dxa"/>
            <w:vMerge/>
            <w:shd w:val="clear" w:color="auto" w:fill="EAF1DD" w:themeFill="accent3" w:themeFillTint="33"/>
          </w:tcPr>
          <w:p w:rsidR="00186F21" w:rsidRPr="00FE3F2A" w:rsidRDefault="00186F21" w:rsidP="00AA3376">
            <w:pPr>
              <w:spacing w:before="200" w:after="200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6215" w:type="dxa"/>
            <w:shd w:val="clear" w:color="auto" w:fill="FFFFFF"/>
          </w:tcPr>
          <w:p w:rsidR="00186F21" w:rsidRPr="00FE3F2A" w:rsidRDefault="00186F21" w:rsidP="006E343D">
            <w:pPr>
              <w:spacing w:before="60" w:after="60"/>
              <w:rPr>
                <w:rFonts w:asciiTheme="minorHAnsi" w:eastAsia="Calibri" w:hAnsiTheme="minorHAnsi" w:cstheme="minorHAnsi"/>
              </w:rPr>
            </w:pPr>
            <w:r w:rsidRPr="00FE3F2A">
              <w:rPr>
                <w:rFonts w:asciiTheme="minorHAnsi" w:eastAsia="Calibri" w:hAnsiTheme="minorHAnsi" w:cstheme="minorHAnsi"/>
                <w:sz w:val="24"/>
                <w:szCs w:val="24"/>
              </w:rPr>
              <w:t>Connects the a</w:t>
            </w: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dvisor to community coalitions, social service provider </w:t>
            </w:r>
            <w:r w:rsidRPr="00FE3F2A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networks, </w:t>
            </w:r>
            <w:r w:rsidR="000250CB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and </w:t>
            </w:r>
            <w:r w:rsidRPr="00FE3F2A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WIOA partners, </w:t>
            </w: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so that the </w:t>
            </w:r>
            <w:r w:rsidR="0068701C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advisor </w:t>
            </w: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can learn about resources.</w:t>
            </w:r>
          </w:p>
        </w:tc>
        <w:tc>
          <w:tcPr>
            <w:tcW w:w="6446" w:type="dxa"/>
            <w:shd w:val="clear" w:color="auto" w:fill="FFFFFF"/>
          </w:tcPr>
          <w:p w:rsidR="00186F21" w:rsidRPr="00FE3F2A" w:rsidRDefault="00186F21">
            <w:pPr>
              <w:spacing w:before="200" w:after="200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5C634F" w:rsidRPr="00FE3F2A" w:rsidTr="009953E5">
        <w:trPr>
          <w:gridAfter w:val="1"/>
          <w:wAfter w:w="50" w:type="dxa"/>
        </w:trPr>
        <w:tc>
          <w:tcPr>
            <w:tcW w:w="957" w:type="dxa"/>
            <w:vMerge w:val="restart"/>
            <w:shd w:val="clear" w:color="auto" w:fill="DAEEF3" w:themeFill="accent5" w:themeFillTint="33"/>
            <w:textDirection w:val="btLr"/>
          </w:tcPr>
          <w:p w:rsidR="005C634F" w:rsidRPr="005C634F" w:rsidRDefault="005C634F" w:rsidP="006E7133">
            <w:pPr>
              <w:spacing w:before="200" w:after="200"/>
              <w:ind w:left="113" w:right="113"/>
              <w:jc w:val="center"/>
              <w:rPr>
                <w:rFonts w:asciiTheme="minorHAnsi" w:eastAsia="Calibri" w:hAnsiTheme="minorHAnsi" w:cstheme="minorHAnsi"/>
                <w:b/>
                <w:sz w:val="28"/>
                <w:szCs w:val="28"/>
              </w:rPr>
            </w:pPr>
            <w:r w:rsidRPr="005C634F">
              <w:rPr>
                <w:rFonts w:asciiTheme="minorHAnsi" w:eastAsia="Calibri" w:hAnsiTheme="minorHAnsi" w:cstheme="minorHAnsi"/>
                <w:b/>
                <w:sz w:val="28"/>
                <w:szCs w:val="28"/>
              </w:rPr>
              <w:t>Advisor</w:t>
            </w:r>
          </w:p>
        </w:tc>
        <w:tc>
          <w:tcPr>
            <w:tcW w:w="6215" w:type="dxa"/>
            <w:shd w:val="clear" w:color="auto" w:fill="FFFFFF"/>
          </w:tcPr>
          <w:p w:rsidR="005C634F" w:rsidRPr="00A93FB6" w:rsidRDefault="005C634F" w:rsidP="000855B3">
            <w:pPr>
              <w:spacing w:before="60" w:after="60"/>
              <w:rPr>
                <w:rFonts w:asciiTheme="minorHAnsi" w:eastAsia="Calibri" w:hAnsiTheme="minorHAnsi" w:cstheme="minorHAnsi"/>
              </w:rPr>
            </w:pPr>
            <w:r w:rsidRPr="00A93FB6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Is familiar with local area resources and is prepared to make </w:t>
            </w: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referrals </w:t>
            </w:r>
            <w:r w:rsidRPr="00A93FB6">
              <w:rPr>
                <w:rFonts w:asciiTheme="minorHAnsi" w:eastAsia="Calibri" w:hAnsiTheme="minorHAnsi" w:cstheme="minorHAnsi"/>
                <w:sz w:val="24"/>
                <w:szCs w:val="24"/>
              </w:rPr>
              <w:t>to help students</w:t>
            </w: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seeking assistance</w:t>
            </w:r>
            <w:r w:rsidRPr="00A93FB6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with food insecurity, </w:t>
            </w:r>
            <w:r w:rsidR="00A50755">
              <w:rPr>
                <w:rFonts w:asciiTheme="minorHAnsi" w:eastAsia="Calibri" w:hAnsiTheme="minorHAnsi" w:cstheme="minorHAnsi"/>
                <w:sz w:val="24"/>
                <w:szCs w:val="24"/>
              </w:rPr>
              <w:t>discrimination</w:t>
            </w:r>
            <w:r w:rsidR="000855B3">
              <w:rPr>
                <w:rFonts w:asciiTheme="minorHAnsi" w:eastAsia="Calibri" w:hAnsiTheme="minorHAnsi" w:cstheme="minorHAnsi"/>
                <w:sz w:val="24"/>
                <w:szCs w:val="24"/>
              </w:rPr>
              <w:t>,</w:t>
            </w:r>
            <w:r w:rsidR="00A50755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r w:rsidRPr="00A93FB6">
              <w:rPr>
                <w:rFonts w:asciiTheme="minorHAnsi" w:eastAsia="Calibri" w:hAnsiTheme="minorHAnsi" w:cstheme="minorHAnsi"/>
                <w:sz w:val="24"/>
                <w:szCs w:val="24"/>
              </w:rPr>
              <w:t>housing insecurity, unemployment, mental health, domestic and sexual violence, and other emergency</w:t>
            </w: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and non-emergency</w:t>
            </w:r>
            <w:r w:rsidRPr="00A93FB6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services.</w:t>
            </w:r>
          </w:p>
        </w:tc>
        <w:tc>
          <w:tcPr>
            <w:tcW w:w="6446" w:type="dxa"/>
            <w:shd w:val="clear" w:color="auto" w:fill="FFFFFF"/>
          </w:tcPr>
          <w:p w:rsidR="005C634F" w:rsidRPr="00FE3F2A" w:rsidRDefault="005C634F">
            <w:pPr>
              <w:spacing w:before="200" w:after="200"/>
              <w:rPr>
                <w:rFonts w:asciiTheme="minorHAnsi" w:eastAsia="Calibri" w:hAnsiTheme="minorHAnsi" w:cstheme="minorHAnsi"/>
              </w:rPr>
            </w:pPr>
          </w:p>
        </w:tc>
      </w:tr>
      <w:tr w:rsidR="005C634F" w:rsidRPr="00FE3F2A" w:rsidTr="009953E5">
        <w:trPr>
          <w:gridAfter w:val="1"/>
          <w:wAfter w:w="50" w:type="dxa"/>
        </w:trPr>
        <w:tc>
          <w:tcPr>
            <w:tcW w:w="957" w:type="dxa"/>
            <w:vMerge/>
            <w:shd w:val="clear" w:color="auto" w:fill="DAEEF3" w:themeFill="accent5" w:themeFillTint="33"/>
          </w:tcPr>
          <w:p w:rsidR="005C634F" w:rsidRPr="00FE3F2A" w:rsidRDefault="005C634F">
            <w:pPr>
              <w:spacing w:before="200" w:after="200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6215" w:type="dxa"/>
            <w:shd w:val="clear" w:color="auto" w:fill="FFFFFF"/>
          </w:tcPr>
          <w:p w:rsidR="005C634F" w:rsidRPr="00FE3F2A" w:rsidRDefault="005C634F" w:rsidP="006E343D">
            <w:pPr>
              <w:spacing w:before="60" w:after="60"/>
              <w:rPr>
                <w:rFonts w:asciiTheme="minorHAnsi" w:eastAsia="Calibri" w:hAnsiTheme="minorHAnsi" w:cstheme="minorHAnsi"/>
              </w:rPr>
            </w:pPr>
            <w:r w:rsidRPr="00FE3F2A">
              <w:rPr>
                <w:rFonts w:asciiTheme="minorHAnsi" w:eastAsia="Calibri" w:hAnsiTheme="minorHAnsi" w:cstheme="minorHAnsi"/>
                <w:sz w:val="24"/>
                <w:szCs w:val="24"/>
              </w:rPr>
              <w:t>Helps students identify strengths, anticipate barriers to success, and practice strategies to overcome barriers.</w:t>
            </w:r>
          </w:p>
        </w:tc>
        <w:tc>
          <w:tcPr>
            <w:tcW w:w="6446" w:type="dxa"/>
            <w:shd w:val="clear" w:color="auto" w:fill="FFFFFF"/>
          </w:tcPr>
          <w:p w:rsidR="005C634F" w:rsidRPr="00FE3F2A" w:rsidRDefault="005C634F">
            <w:pPr>
              <w:spacing w:before="200" w:after="200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5C634F" w:rsidRPr="00FE3F2A" w:rsidTr="009953E5">
        <w:trPr>
          <w:gridAfter w:val="1"/>
          <w:wAfter w:w="50" w:type="dxa"/>
        </w:trPr>
        <w:tc>
          <w:tcPr>
            <w:tcW w:w="957" w:type="dxa"/>
            <w:vMerge/>
            <w:shd w:val="clear" w:color="auto" w:fill="DAEEF3" w:themeFill="accent5" w:themeFillTint="33"/>
          </w:tcPr>
          <w:p w:rsidR="005C634F" w:rsidRPr="00FE3F2A" w:rsidRDefault="005C634F">
            <w:pPr>
              <w:spacing w:before="200" w:after="200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6215" w:type="dxa"/>
            <w:shd w:val="clear" w:color="auto" w:fill="FFFFFF"/>
          </w:tcPr>
          <w:p w:rsidR="005C634F" w:rsidRPr="00FE3F2A" w:rsidRDefault="005C634F" w:rsidP="006E343D">
            <w:pPr>
              <w:spacing w:before="60" w:after="60"/>
              <w:rPr>
                <w:rFonts w:asciiTheme="minorHAnsi" w:eastAsia="Calibri" w:hAnsiTheme="minorHAnsi" w:cstheme="minorHAnsi"/>
              </w:rPr>
            </w:pPr>
            <w:r w:rsidRPr="00FE3F2A">
              <w:rPr>
                <w:rFonts w:asciiTheme="minorHAnsi" w:eastAsia="Calibri" w:hAnsiTheme="minorHAnsi" w:cstheme="minorHAnsi"/>
                <w:sz w:val="24"/>
                <w:szCs w:val="24"/>
              </w:rPr>
              <w:t>Understands legal limits in questioning students about disabilities</w:t>
            </w:r>
            <w:r w:rsidR="0068701C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while</w:t>
            </w:r>
            <w:r w:rsidRPr="00FE3F2A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r w:rsidR="0068701C" w:rsidRPr="00FE3F2A">
              <w:rPr>
                <w:rFonts w:asciiTheme="minorHAnsi" w:eastAsia="Calibri" w:hAnsiTheme="minorHAnsi" w:cstheme="minorHAnsi"/>
                <w:sz w:val="24"/>
                <w:szCs w:val="24"/>
              </w:rPr>
              <w:t>creat</w:t>
            </w:r>
            <w:r w:rsidR="0068701C">
              <w:rPr>
                <w:rFonts w:asciiTheme="minorHAnsi" w:eastAsia="Calibri" w:hAnsiTheme="minorHAnsi" w:cstheme="minorHAnsi"/>
                <w:sz w:val="24"/>
                <w:szCs w:val="24"/>
              </w:rPr>
              <w:t>ing</w:t>
            </w:r>
            <w:r w:rsidR="0068701C" w:rsidRPr="00FE3F2A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r w:rsidRPr="00FE3F2A">
              <w:rPr>
                <w:rFonts w:asciiTheme="minorHAnsi" w:eastAsia="Calibri" w:hAnsiTheme="minorHAnsi" w:cstheme="minorHAnsi"/>
                <w:sz w:val="24"/>
                <w:szCs w:val="24"/>
              </w:rPr>
              <w:t>a comfortable and safe space where students can voluntarily disclose information that may affect their learning progress.</w:t>
            </w:r>
          </w:p>
        </w:tc>
        <w:tc>
          <w:tcPr>
            <w:tcW w:w="6446" w:type="dxa"/>
            <w:shd w:val="clear" w:color="auto" w:fill="FFFFFF"/>
          </w:tcPr>
          <w:p w:rsidR="005C634F" w:rsidRPr="00FE3F2A" w:rsidRDefault="005C634F">
            <w:pPr>
              <w:spacing w:before="200" w:after="200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5C634F" w:rsidRPr="00FE3F2A" w:rsidTr="009953E5">
        <w:trPr>
          <w:gridAfter w:val="1"/>
          <w:wAfter w:w="50" w:type="dxa"/>
          <w:cantSplit/>
          <w:trHeight w:val="1134"/>
        </w:trPr>
        <w:tc>
          <w:tcPr>
            <w:tcW w:w="957" w:type="dxa"/>
            <w:shd w:val="clear" w:color="auto" w:fill="FDE9D9" w:themeFill="accent6" w:themeFillTint="33"/>
            <w:textDirection w:val="btLr"/>
          </w:tcPr>
          <w:p w:rsidR="005C634F" w:rsidRPr="00FE3F2A" w:rsidRDefault="00604A58" w:rsidP="00604A58">
            <w:pPr>
              <w:spacing w:before="200" w:after="200"/>
              <w:ind w:left="113" w:right="113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6E343D">
              <w:rPr>
                <w:rFonts w:asciiTheme="minorHAnsi" w:eastAsia="Calibri" w:hAnsiTheme="minorHAnsi" w:cstheme="minorHAnsi"/>
                <w:b/>
                <w:sz w:val="28"/>
                <w:szCs w:val="28"/>
              </w:rPr>
              <w:t>A</w:t>
            </w:r>
            <w:r w:rsidR="005C634F" w:rsidRPr="006E343D">
              <w:rPr>
                <w:rFonts w:asciiTheme="minorHAnsi" w:eastAsia="Calibri" w:hAnsiTheme="minorHAnsi" w:cstheme="minorHAnsi"/>
                <w:b/>
                <w:sz w:val="28"/>
                <w:szCs w:val="28"/>
              </w:rPr>
              <w:t xml:space="preserve">dvisor </w:t>
            </w:r>
            <w:r w:rsidRPr="006E343D">
              <w:rPr>
                <w:rFonts w:asciiTheme="minorHAnsi" w:eastAsia="Calibri" w:hAnsiTheme="minorHAnsi" w:cstheme="minorHAnsi"/>
                <w:b/>
                <w:sz w:val="28"/>
                <w:szCs w:val="28"/>
              </w:rPr>
              <w:t>&amp; T</w:t>
            </w:r>
            <w:r w:rsidR="005C634F" w:rsidRPr="006E343D">
              <w:rPr>
                <w:rFonts w:asciiTheme="minorHAnsi" w:eastAsia="Calibri" w:hAnsiTheme="minorHAnsi" w:cstheme="minorHAnsi"/>
                <w:b/>
                <w:sz w:val="28"/>
                <w:szCs w:val="28"/>
              </w:rPr>
              <w:t>eachers</w:t>
            </w:r>
          </w:p>
        </w:tc>
        <w:tc>
          <w:tcPr>
            <w:tcW w:w="6215" w:type="dxa"/>
            <w:shd w:val="clear" w:color="auto" w:fill="FFFFFF"/>
          </w:tcPr>
          <w:p w:rsidR="00604A58" w:rsidRDefault="005C634F" w:rsidP="006E343D">
            <w:pPr>
              <w:spacing w:before="60" w:after="60"/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FE3F2A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Integrate </w:t>
            </w:r>
            <w:r w:rsidRPr="00FE3F2A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lessons on barriers to persistence</w:t>
            </w:r>
            <w:r w:rsidR="0068701C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="009953E5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 xml:space="preserve">that feature information about </w:t>
            </w:r>
            <w:r w:rsidRPr="00FE3F2A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community resources, including planning field trips to local agencies, and inviting representatives of community agencies into the classroom.</w:t>
            </w:r>
          </w:p>
          <w:p w:rsidR="009953E5" w:rsidRPr="00FE3F2A" w:rsidRDefault="009953E5" w:rsidP="006E343D">
            <w:pPr>
              <w:spacing w:before="60" w:after="60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6446" w:type="dxa"/>
            <w:shd w:val="clear" w:color="auto" w:fill="FFFFFF"/>
          </w:tcPr>
          <w:p w:rsidR="005C634F" w:rsidRPr="00FE3F2A" w:rsidRDefault="005C63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/>
              <w:ind w:left="720" w:hanging="720"/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B57A6E" w:rsidRPr="00FE3F2A" w:rsidTr="009953E5">
        <w:trPr>
          <w:gridAfter w:val="1"/>
          <w:wAfter w:w="50" w:type="dxa"/>
        </w:trPr>
        <w:tc>
          <w:tcPr>
            <w:tcW w:w="13618" w:type="dxa"/>
            <w:gridSpan w:val="3"/>
            <w:shd w:val="clear" w:color="auto" w:fill="F2F2F2"/>
          </w:tcPr>
          <w:p w:rsidR="00B57A6E" w:rsidRPr="00FE3F2A" w:rsidRDefault="00D17C34">
            <w:pPr>
              <w:spacing w:before="200" w:after="20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FE3F2A">
              <w:rPr>
                <w:rFonts w:asciiTheme="minorHAnsi" w:eastAsia="Calibri" w:hAnsiTheme="minorHAnsi" w:cstheme="minorHAnsi"/>
                <w:b/>
                <w:i/>
                <w:sz w:val="24"/>
                <w:szCs w:val="24"/>
              </w:rPr>
              <w:lastRenderedPageBreak/>
              <w:t>6.3: The advisor and instructional staff work collaboratively to create a culture of student self-efficacy and persistence.</w:t>
            </w:r>
          </w:p>
        </w:tc>
      </w:tr>
      <w:tr w:rsidR="005C634F" w:rsidRPr="00FE3F2A" w:rsidTr="009953E5">
        <w:trPr>
          <w:gridAfter w:val="1"/>
          <w:wAfter w:w="50" w:type="dxa"/>
        </w:trPr>
        <w:tc>
          <w:tcPr>
            <w:tcW w:w="957" w:type="dxa"/>
            <w:vMerge w:val="restart"/>
            <w:shd w:val="clear" w:color="auto" w:fill="EAF1DD" w:themeFill="accent3" w:themeFillTint="33"/>
            <w:textDirection w:val="btLr"/>
            <w:vAlign w:val="center"/>
          </w:tcPr>
          <w:p w:rsidR="005C634F" w:rsidRPr="00FE3F2A" w:rsidRDefault="005C634F" w:rsidP="006E7133">
            <w:pPr>
              <w:spacing w:before="200" w:after="200"/>
              <w:ind w:left="113" w:right="113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186F21">
              <w:rPr>
                <w:rFonts w:ascii="Calibri" w:hAnsi="Calibri" w:cs="Calibri"/>
                <w:b/>
                <w:sz w:val="28"/>
                <w:szCs w:val="28"/>
              </w:rPr>
              <w:t>Director and/or Coordinator</w:t>
            </w:r>
          </w:p>
        </w:tc>
        <w:tc>
          <w:tcPr>
            <w:tcW w:w="6215" w:type="dxa"/>
            <w:shd w:val="clear" w:color="auto" w:fill="FFFFFF"/>
          </w:tcPr>
          <w:p w:rsidR="005C634F" w:rsidRPr="00FE3F2A" w:rsidRDefault="005C634F" w:rsidP="006E343D">
            <w:pPr>
              <w:spacing w:before="60" w:after="60"/>
              <w:rPr>
                <w:rFonts w:asciiTheme="minorHAnsi" w:eastAsia="Calibri" w:hAnsiTheme="minorHAnsi" w:cstheme="minorHAnsi"/>
              </w:rPr>
            </w:pPr>
            <w:r w:rsidRPr="00FE3F2A">
              <w:rPr>
                <w:rFonts w:asciiTheme="minorHAnsi" w:eastAsia="Calibri" w:hAnsiTheme="minorHAnsi" w:cstheme="minorHAnsi"/>
                <w:sz w:val="24"/>
                <w:szCs w:val="24"/>
              </w:rPr>
              <w:t>Encourages collection and analysis of</w:t>
            </w:r>
            <w:r w:rsidRPr="00FE3F2A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 xml:space="preserve"> student data on barriers to attendance, drop-out/stop-out reasons, </w:t>
            </w:r>
            <w:r w:rsidR="0068701C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 xml:space="preserve">and </w:t>
            </w:r>
            <w:r w:rsidRPr="00FE3F2A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high-attrition times to maximize and target advising activities.</w:t>
            </w:r>
          </w:p>
        </w:tc>
        <w:tc>
          <w:tcPr>
            <w:tcW w:w="6446" w:type="dxa"/>
            <w:shd w:val="clear" w:color="auto" w:fill="FFFFFF"/>
          </w:tcPr>
          <w:p w:rsidR="005C634F" w:rsidRPr="00FE3F2A" w:rsidRDefault="005C634F" w:rsidP="00604A58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5C634F" w:rsidRPr="00FE3F2A" w:rsidTr="009953E5">
        <w:trPr>
          <w:gridAfter w:val="1"/>
          <w:wAfter w:w="50" w:type="dxa"/>
        </w:trPr>
        <w:tc>
          <w:tcPr>
            <w:tcW w:w="957" w:type="dxa"/>
            <w:vMerge/>
            <w:shd w:val="clear" w:color="auto" w:fill="EAF1DD" w:themeFill="accent3" w:themeFillTint="33"/>
          </w:tcPr>
          <w:p w:rsidR="005C634F" w:rsidRPr="00FE3F2A" w:rsidRDefault="005C634F">
            <w:pPr>
              <w:spacing w:before="200" w:after="200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6215" w:type="dxa"/>
            <w:shd w:val="clear" w:color="auto" w:fill="FFFFFF"/>
          </w:tcPr>
          <w:p w:rsidR="005C634F" w:rsidRPr="00FE3F2A" w:rsidRDefault="005C634F" w:rsidP="006E343D">
            <w:pPr>
              <w:spacing w:before="60" w:after="60"/>
              <w:rPr>
                <w:rFonts w:asciiTheme="minorHAnsi" w:eastAsia="Calibri" w:hAnsiTheme="minorHAnsi" w:cstheme="minorHAnsi"/>
              </w:rPr>
            </w:pPr>
            <w:r w:rsidRPr="00FE3F2A">
              <w:rPr>
                <w:rFonts w:asciiTheme="minorHAnsi" w:eastAsia="Calibri" w:hAnsiTheme="minorHAnsi" w:cstheme="minorHAnsi"/>
                <w:sz w:val="24"/>
                <w:szCs w:val="24"/>
              </w:rPr>
              <w:t>Seeks out professional development opportunities for advisor and teachers to build their knowledge about</w:t>
            </w: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r w:rsidRPr="00FE3F2A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conditions that affect their students’ progress and </w:t>
            </w:r>
            <w:r w:rsidR="0068701C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to </w:t>
            </w:r>
            <w:r w:rsidRPr="00FE3F2A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build skills to help address them. </w:t>
            </w:r>
            <w:r w:rsidR="0068701C">
              <w:rPr>
                <w:rFonts w:asciiTheme="minorHAnsi" w:eastAsia="Calibri" w:hAnsiTheme="minorHAnsi" w:cstheme="minorHAnsi"/>
                <w:sz w:val="24"/>
                <w:szCs w:val="24"/>
              </w:rPr>
              <w:t>(</w:t>
            </w:r>
            <w:r w:rsidRPr="00FE3F2A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These may include the effects of trauma, </w:t>
            </w:r>
            <w:r w:rsidR="00A50755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discrimination, </w:t>
            </w:r>
            <w:r w:rsidRPr="00FE3F2A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violence, </w:t>
            </w:r>
            <w:r w:rsidR="00A50755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racism, </w:t>
            </w:r>
            <w:r w:rsidRPr="00FE3F2A">
              <w:rPr>
                <w:rFonts w:asciiTheme="minorHAnsi" w:eastAsia="Calibri" w:hAnsiTheme="minorHAnsi" w:cstheme="minorHAnsi"/>
                <w:sz w:val="24"/>
                <w:szCs w:val="24"/>
              </w:rPr>
              <w:t>poverty, incarceration, legal status, and spiritual/cultural beliefs.</w:t>
            </w:r>
            <w:r w:rsidR="0068701C">
              <w:rPr>
                <w:rFonts w:asciiTheme="minorHAnsi" w:eastAsia="Calibr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6446" w:type="dxa"/>
            <w:shd w:val="clear" w:color="auto" w:fill="FFFFFF"/>
          </w:tcPr>
          <w:p w:rsidR="005C634F" w:rsidRPr="00FE3F2A" w:rsidRDefault="005C634F" w:rsidP="00604A58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5C634F" w:rsidRPr="00FE3F2A" w:rsidTr="009953E5">
        <w:trPr>
          <w:gridAfter w:val="1"/>
          <w:wAfter w:w="50" w:type="dxa"/>
        </w:trPr>
        <w:tc>
          <w:tcPr>
            <w:tcW w:w="957" w:type="dxa"/>
            <w:vMerge/>
            <w:shd w:val="clear" w:color="auto" w:fill="EAF1DD" w:themeFill="accent3" w:themeFillTint="33"/>
          </w:tcPr>
          <w:p w:rsidR="005C634F" w:rsidRPr="00FE3F2A" w:rsidRDefault="005C634F" w:rsidP="00AB4BD7">
            <w:pPr>
              <w:spacing w:before="200" w:after="200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6215" w:type="dxa"/>
            <w:shd w:val="clear" w:color="auto" w:fill="FFFFFF"/>
          </w:tcPr>
          <w:p w:rsidR="005C634F" w:rsidRPr="00FE3F2A" w:rsidRDefault="005C634F" w:rsidP="009B218C">
            <w:pPr>
              <w:spacing w:before="60" w:after="60"/>
              <w:rPr>
                <w:rFonts w:asciiTheme="minorHAnsi" w:eastAsia="Calibri" w:hAnsiTheme="minorHAnsi" w:cstheme="minorHAnsi"/>
              </w:rPr>
            </w:pPr>
            <w:r w:rsidRPr="00FE3F2A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Seeks out professional development opportunities for advisor and teachers </w:t>
            </w:r>
            <w:r w:rsidR="009B218C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to learn how to effectively use technology tools that engage learners in developing their own digital skills </w:t>
            </w: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inside and outside the classroom.</w:t>
            </w:r>
          </w:p>
        </w:tc>
        <w:tc>
          <w:tcPr>
            <w:tcW w:w="6446" w:type="dxa"/>
            <w:shd w:val="clear" w:color="auto" w:fill="FFFFFF"/>
          </w:tcPr>
          <w:p w:rsidR="005C634F" w:rsidRPr="00FE3F2A" w:rsidRDefault="005C634F" w:rsidP="00604A58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604A58" w:rsidRPr="00FE3F2A" w:rsidTr="009953E5">
        <w:trPr>
          <w:gridAfter w:val="1"/>
          <w:wAfter w:w="50" w:type="dxa"/>
        </w:trPr>
        <w:tc>
          <w:tcPr>
            <w:tcW w:w="957" w:type="dxa"/>
            <w:vMerge w:val="restart"/>
            <w:shd w:val="clear" w:color="auto" w:fill="DAEEF3" w:themeFill="accent5" w:themeFillTint="33"/>
            <w:textDirection w:val="btLr"/>
          </w:tcPr>
          <w:p w:rsidR="00604A58" w:rsidRPr="00604A58" w:rsidRDefault="00604A58" w:rsidP="00604A58">
            <w:pPr>
              <w:spacing w:before="200" w:after="200"/>
              <w:ind w:left="113" w:right="113"/>
              <w:jc w:val="center"/>
              <w:rPr>
                <w:rFonts w:asciiTheme="minorHAnsi" w:eastAsia="Calibri" w:hAnsiTheme="minorHAnsi" w:cstheme="minorHAnsi"/>
                <w:b/>
                <w:sz w:val="28"/>
                <w:szCs w:val="28"/>
              </w:rPr>
            </w:pPr>
            <w:r w:rsidRPr="00604A58">
              <w:rPr>
                <w:rFonts w:asciiTheme="minorHAnsi" w:eastAsia="Calibri" w:hAnsiTheme="minorHAnsi" w:cstheme="minorHAnsi"/>
                <w:b/>
                <w:sz w:val="28"/>
                <w:szCs w:val="28"/>
              </w:rPr>
              <w:t>Advisor</w:t>
            </w:r>
          </w:p>
        </w:tc>
        <w:tc>
          <w:tcPr>
            <w:tcW w:w="6215" w:type="dxa"/>
            <w:shd w:val="clear" w:color="auto" w:fill="FFFFFF"/>
          </w:tcPr>
          <w:p w:rsidR="00604A58" w:rsidRPr="00FE3F2A" w:rsidRDefault="00604A58" w:rsidP="006E343D">
            <w:pPr>
              <w:spacing w:before="60" w:after="60"/>
              <w:rPr>
                <w:rFonts w:asciiTheme="minorHAnsi" w:eastAsia="Calibri" w:hAnsiTheme="minorHAnsi" w:cstheme="minorHAnsi"/>
              </w:rPr>
            </w:pPr>
            <w:r w:rsidRPr="00FE3F2A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Establishes relationships with key staff in relevant community services and shares this information with teachers. </w:t>
            </w:r>
            <w:r w:rsidR="0068701C">
              <w:rPr>
                <w:rFonts w:asciiTheme="minorHAnsi" w:eastAsia="Calibri" w:hAnsiTheme="minorHAnsi" w:cstheme="minorHAnsi"/>
                <w:sz w:val="24"/>
                <w:szCs w:val="24"/>
              </w:rPr>
              <w:t>(</w:t>
            </w:r>
            <w:r w:rsidRPr="00FE3F2A">
              <w:rPr>
                <w:rFonts w:asciiTheme="minorHAnsi" w:eastAsia="Calibri" w:hAnsiTheme="minorHAnsi" w:cstheme="minorHAnsi"/>
                <w:sz w:val="24"/>
                <w:szCs w:val="24"/>
              </w:rPr>
              <w:t>These services include, but are not limited to health, mental health, housing, education and training, libraries, food pantries, shelters, childcare, legal assistance, transportation</w:t>
            </w:r>
            <w:r w:rsidR="0068701C">
              <w:rPr>
                <w:rFonts w:asciiTheme="minorHAnsi" w:eastAsia="Calibri" w:hAnsiTheme="minorHAnsi" w:cstheme="minorHAnsi"/>
                <w:sz w:val="24"/>
                <w:szCs w:val="24"/>
              </w:rPr>
              <w:t>,</w:t>
            </w:r>
            <w:r w:rsidRPr="00FE3F2A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and cultural enrichment centers.</w:t>
            </w:r>
            <w:r w:rsidR="0068701C">
              <w:rPr>
                <w:rFonts w:asciiTheme="minorHAnsi" w:eastAsia="Calibr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6446" w:type="dxa"/>
            <w:shd w:val="clear" w:color="auto" w:fill="FFFFFF"/>
          </w:tcPr>
          <w:p w:rsidR="00604A58" w:rsidRPr="00FE3F2A" w:rsidRDefault="00604A58" w:rsidP="00604A58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604A58" w:rsidRPr="00FE3F2A" w:rsidTr="009953E5">
        <w:trPr>
          <w:gridAfter w:val="1"/>
          <w:wAfter w:w="50" w:type="dxa"/>
        </w:trPr>
        <w:tc>
          <w:tcPr>
            <w:tcW w:w="957" w:type="dxa"/>
            <w:vMerge/>
            <w:shd w:val="clear" w:color="auto" w:fill="DAEEF3" w:themeFill="accent5" w:themeFillTint="33"/>
          </w:tcPr>
          <w:p w:rsidR="00604A58" w:rsidRPr="00FE3F2A" w:rsidRDefault="00604A58">
            <w:pPr>
              <w:spacing w:before="200" w:after="200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6215" w:type="dxa"/>
            <w:shd w:val="clear" w:color="auto" w:fill="FFFFFF"/>
          </w:tcPr>
          <w:p w:rsidR="00604A58" w:rsidRPr="00FE3F2A" w:rsidRDefault="00604A58" w:rsidP="006E343D">
            <w:pPr>
              <w:spacing w:before="60" w:after="60"/>
              <w:rPr>
                <w:rFonts w:asciiTheme="minorHAnsi" w:eastAsia="Calibri" w:hAnsiTheme="minorHAnsi" w:cstheme="minorHAnsi"/>
              </w:rPr>
            </w:pPr>
            <w:r w:rsidRPr="00FE3F2A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Shares data on barriers to attendance, drop-out/stop-out reasons, </w:t>
            </w:r>
            <w:r w:rsidR="0068701C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and </w:t>
            </w:r>
            <w:r w:rsidRPr="00FE3F2A">
              <w:rPr>
                <w:rFonts w:asciiTheme="minorHAnsi" w:eastAsia="Calibri" w:hAnsiTheme="minorHAnsi" w:cstheme="minorHAnsi"/>
                <w:sz w:val="24"/>
                <w:szCs w:val="24"/>
              </w:rPr>
              <w:t>high-attrition times with students to proactively address anticipated attendance or attrition issues.</w:t>
            </w:r>
          </w:p>
        </w:tc>
        <w:tc>
          <w:tcPr>
            <w:tcW w:w="6446" w:type="dxa"/>
            <w:shd w:val="clear" w:color="auto" w:fill="FFFFFF"/>
          </w:tcPr>
          <w:p w:rsidR="00604A58" w:rsidRPr="00FE3F2A" w:rsidRDefault="00604A58" w:rsidP="00604A58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604A58" w:rsidRPr="00FE3F2A" w:rsidTr="009953E5">
        <w:trPr>
          <w:gridAfter w:val="1"/>
          <w:wAfter w:w="50" w:type="dxa"/>
        </w:trPr>
        <w:tc>
          <w:tcPr>
            <w:tcW w:w="957" w:type="dxa"/>
            <w:vMerge/>
            <w:shd w:val="clear" w:color="auto" w:fill="DAEEF3" w:themeFill="accent5" w:themeFillTint="33"/>
          </w:tcPr>
          <w:p w:rsidR="00604A58" w:rsidRPr="00AB4BD7" w:rsidRDefault="00604A58" w:rsidP="00AB4BD7">
            <w:pPr>
              <w:spacing w:before="200" w:after="20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215" w:type="dxa"/>
            <w:shd w:val="clear" w:color="auto" w:fill="FFFFFF"/>
          </w:tcPr>
          <w:p w:rsidR="00604A58" w:rsidRPr="00AB4BD7" w:rsidRDefault="00604A58" w:rsidP="009B218C">
            <w:pPr>
              <w:spacing w:before="60" w:after="60"/>
              <w:rPr>
                <w:rFonts w:ascii="Calibri" w:eastAsia="Calibri" w:hAnsi="Calibri" w:cs="Calibri"/>
              </w:rPr>
            </w:pPr>
            <w:r w:rsidRPr="00AB4BD7">
              <w:rPr>
                <w:rFonts w:ascii="Calibri" w:eastAsia="Calibri" w:hAnsi="Calibri" w:cs="Calibri"/>
                <w:sz w:val="24"/>
                <w:szCs w:val="24"/>
              </w:rPr>
              <w:t xml:space="preserve">Uses technology tools to engage learners, offer support, </w:t>
            </w:r>
            <w:r w:rsidRPr="00AB4BD7">
              <w:rPr>
                <w:rFonts w:ascii="Calibri" w:hAnsi="Calibri" w:cs="Calibri"/>
                <w:sz w:val="24"/>
                <w:szCs w:val="24"/>
              </w:rPr>
              <w:t>share community resources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r w:rsidRPr="00AB4BD7">
              <w:rPr>
                <w:rFonts w:ascii="Calibri" w:hAnsi="Calibri" w:cs="Calibri"/>
                <w:sz w:val="24"/>
                <w:szCs w:val="24"/>
              </w:rPr>
              <w:t>complete education and career</w:t>
            </w:r>
            <w:r w:rsidR="009B218C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AB4BD7">
              <w:rPr>
                <w:rFonts w:ascii="Calibri" w:hAnsi="Calibri" w:cs="Calibri"/>
                <w:sz w:val="24"/>
                <w:szCs w:val="24"/>
              </w:rPr>
              <w:t>planning activities</w:t>
            </w:r>
            <w:r w:rsidR="0068701C">
              <w:rPr>
                <w:rFonts w:ascii="Calibri" w:hAnsi="Calibri" w:cs="Calibri"/>
                <w:sz w:val="24"/>
                <w:szCs w:val="24"/>
              </w:rPr>
              <w:t>,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and develop digital skills inside and outside the classroom.</w:t>
            </w:r>
          </w:p>
        </w:tc>
        <w:tc>
          <w:tcPr>
            <w:tcW w:w="6446" w:type="dxa"/>
            <w:shd w:val="clear" w:color="auto" w:fill="FFFFFF"/>
          </w:tcPr>
          <w:p w:rsidR="00604A58" w:rsidRPr="00FE3F2A" w:rsidRDefault="00604A58" w:rsidP="00604A58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604A58" w:rsidRPr="00FE3F2A" w:rsidTr="009953E5">
        <w:trPr>
          <w:gridAfter w:val="1"/>
          <w:wAfter w:w="50" w:type="dxa"/>
          <w:cantSplit/>
          <w:trHeight w:val="1727"/>
        </w:trPr>
        <w:tc>
          <w:tcPr>
            <w:tcW w:w="957" w:type="dxa"/>
            <w:shd w:val="clear" w:color="auto" w:fill="FDE9D9" w:themeFill="accent6" w:themeFillTint="33"/>
            <w:textDirection w:val="btLr"/>
          </w:tcPr>
          <w:p w:rsidR="007321BD" w:rsidRDefault="00604A58" w:rsidP="007321BD">
            <w:pPr>
              <w:spacing w:before="200" w:after="200"/>
              <w:ind w:left="113" w:right="113"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6E343D">
              <w:rPr>
                <w:rFonts w:asciiTheme="minorHAnsi" w:eastAsia="Calibri" w:hAnsiTheme="minorHAnsi" w:cstheme="minorHAnsi"/>
                <w:b/>
                <w:sz w:val="28"/>
                <w:szCs w:val="28"/>
              </w:rPr>
              <w:lastRenderedPageBreak/>
              <w:t xml:space="preserve">Advisor </w:t>
            </w:r>
            <w:r w:rsidR="006E343D" w:rsidRPr="006E343D">
              <w:rPr>
                <w:rFonts w:asciiTheme="minorHAnsi" w:eastAsia="Calibri" w:hAnsiTheme="minorHAnsi" w:cstheme="minorHAnsi"/>
                <w:b/>
                <w:sz w:val="28"/>
                <w:szCs w:val="28"/>
              </w:rPr>
              <w:t>&amp;</w:t>
            </w:r>
            <w:r w:rsidRPr="006E343D">
              <w:rPr>
                <w:rFonts w:asciiTheme="minorHAnsi" w:eastAsia="Calibri" w:hAnsiTheme="minorHAnsi" w:cstheme="minorHAnsi"/>
                <w:b/>
                <w:sz w:val="28"/>
                <w:szCs w:val="28"/>
              </w:rPr>
              <w:t xml:space="preserve"> Teachers</w:t>
            </w:r>
          </w:p>
        </w:tc>
        <w:tc>
          <w:tcPr>
            <w:tcW w:w="6215" w:type="dxa"/>
            <w:shd w:val="clear" w:color="auto" w:fill="FFFFFF"/>
          </w:tcPr>
          <w:p w:rsidR="00604A58" w:rsidRPr="00FE3F2A" w:rsidRDefault="00604A58" w:rsidP="000855B3">
            <w:pPr>
              <w:spacing w:before="60" w:after="60"/>
              <w:rPr>
                <w:rFonts w:asciiTheme="minorHAnsi" w:eastAsia="Calibri" w:hAnsiTheme="minorHAnsi" w:cstheme="minorHAnsi"/>
                <w:b/>
              </w:rPr>
            </w:pPr>
            <w:r w:rsidRPr="00FE3F2A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 xml:space="preserve">Integrate lessons to proactively build self-efficacy and raise awareness of persistence, including growth mindset, brain awareness, </w:t>
            </w:r>
            <w:r w:rsidR="00A50755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social</w:t>
            </w:r>
            <w:r w:rsidR="000855B3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 xml:space="preserve"> and </w:t>
            </w:r>
            <w:r w:rsidR="00A50755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 xml:space="preserve">emotional </w:t>
            </w:r>
            <w:r w:rsidR="000855B3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well-being</w:t>
            </w:r>
            <w:r w:rsidR="00A50755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 xml:space="preserve">, </w:t>
            </w:r>
            <w:r w:rsidRPr="00FE3F2A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etc.</w:t>
            </w:r>
          </w:p>
        </w:tc>
        <w:tc>
          <w:tcPr>
            <w:tcW w:w="6446" w:type="dxa"/>
            <w:shd w:val="clear" w:color="auto" w:fill="FFFFFF"/>
          </w:tcPr>
          <w:p w:rsidR="00604A58" w:rsidRPr="00FE3F2A" w:rsidRDefault="00604A58">
            <w:pPr>
              <w:spacing w:before="200" w:after="200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</w:tbl>
    <w:p w:rsidR="00B57A6E" w:rsidRPr="00FE3F2A" w:rsidRDefault="00B57A6E" w:rsidP="0068701C">
      <w:pPr>
        <w:rPr>
          <w:rFonts w:asciiTheme="minorHAnsi" w:eastAsia="Calibri" w:hAnsiTheme="minorHAnsi" w:cstheme="minorHAnsi"/>
        </w:rPr>
      </w:pPr>
    </w:p>
    <w:sectPr w:rsidR="00B57A6E" w:rsidRPr="00FE3F2A" w:rsidSect="00604A58">
      <w:headerReference w:type="default" r:id="rId9"/>
      <w:footerReference w:type="default" r:id="rId10"/>
      <w:headerReference w:type="first" r:id="rId11"/>
      <w:pgSz w:w="15840" w:h="12240" w:orient="landscape"/>
      <w:pgMar w:top="720" w:right="1440" w:bottom="720" w:left="1440" w:header="720" w:footer="432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247" w:rsidRDefault="007C4247">
      <w:r>
        <w:separator/>
      </w:r>
    </w:p>
  </w:endnote>
  <w:endnote w:type="continuationSeparator" w:id="0">
    <w:p w:rsidR="007C4247" w:rsidRDefault="007C4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A6E" w:rsidRDefault="00476B6B">
    <w:pPr>
      <w:jc w:val="right"/>
    </w:pPr>
    <w:r>
      <w:fldChar w:fldCharType="begin"/>
    </w:r>
    <w:r w:rsidR="00D17C34">
      <w:instrText>PAGE</w:instrText>
    </w:r>
    <w:r>
      <w:fldChar w:fldCharType="separate"/>
    </w:r>
    <w:r w:rsidR="00455633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247" w:rsidRDefault="007C4247">
      <w:r>
        <w:separator/>
      </w:r>
    </w:p>
  </w:footnote>
  <w:footnote w:type="continuationSeparator" w:id="0">
    <w:p w:rsidR="007C4247" w:rsidRDefault="007C42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A23" w:rsidRDefault="00BE0A23" w:rsidP="00BE0A23">
    <w:pPr>
      <w:pStyle w:val="Header"/>
      <w:jc w:val="center"/>
    </w:pPr>
    <w:r>
      <w:rPr>
        <w:rFonts w:ascii="Calibri" w:eastAsia="Calibri" w:hAnsi="Calibri" w:cs="Calibri"/>
        <w:b/>
      </w:rPr>
      <w:t xml:space="preserve">   </w:t>
    </w:r>
    <w:r>
      <w:rPr>
        <w:rFonts w:ascii="Calibri" w:eastAsia="Calibri" w:hAnsi="Calibri" w:cs="Calibri"/>
        <w:b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A23" w:rsidRDefault="00BE0A23" w:rsidP="00BE0A23">
    <w:pPr>
      <w:jc w:val="center"/>
      <w:rPr>
        <w:rFonts w:ascii="Calibri" w:eastAsia="Calibri" w:hAnsi="Calibri" w:cs="Calibri"/>
        <w:b/>
        <w:sz w:val="36"/>
        <w:szCs w:val="36"/>
      </w:rPr>
    </w:pPr>
    <w:r>
      <w:rPr>
        <w:rFonts w:ascii="Calibri" w:eastAsia="Calibri" w:hAnsi="Calibri" w:cs="Calibri"/>
        <w:b/>
        <w:sz w:val="36"/>
        <w:szCs w:val="36"/>
      </w:rPr>
      <w:t>Effective Practices Aligned with Indicator of Program Quality (IPQ) #6</w:t>
    </w:r>
  </w:p>
  <w:p w:rsidR="00BE0A23" w:rsidRDefault="00BE0A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E7540"/>
    <w:multiLevelType w:val="multilevel"/>
    <w:tmpl w:val="E662F6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A6E"/>
    <w:rsid w:val="0002289C"/>
    <w:rsid w:val="000250CB"/>
    <w:rsid w:val="000855B3"/>
    <w:rsid w:val="00093583"/>
    <w:rsid w:val="00100C63"/>
    <w:rsid w:val="001234F2"/>
    <w:rsid w:val="00123669"/>
    <w:rsid w:val="0016453F"/>
    <w:rsid w:val="00165EF7"/>
    <w:rsid w:val="00186F21"/>
    <w:rsid w:val="001B556F"/>
    <w:rsid w:val="001C2D13"/>
    <w:rsid w:val="00216D06"/>
    <w:rsid w:val="00227A29"/>
    <w:rsid w:val="0025298E"/>
    <w:rsid w:val="0030345C"/>
    <w:rsid w:val="003226E6"/>
    <w:rsid w:val="00346D59"/>
    <w:rsid w:val="00363B85"/>
    <w:rsid w:val="0037224C"/>
    <w:rsid w:val="003A2613"/>
    <w:rsid w:val="003D7E99"/>
    <w:rsid w:val="003E55C7"/>
    <w:rsid w:val="00455633"/>
    <w:rsid w:val="00476B6B"/>
    <w:rsid w:val="004A0E83"/>
    <w:rsid w:val="00581522"/>
    <w:rsid w:val="005C29CE"/>
    <w:rsid w:val="005C634F"/>
    <w:rsid w:val="005C7D6F"/>
    <w:rsid w:val="005E5AA4"/>
    <w:rsid w:val="00604A58"/>
    <w:rsid w:val="006251CE"/>
    <w:rsid w:val="00632771"/>
    <w:rsid w:val="006415C3"/>
    <w:rsid w:val="00680D47"/>
    <w:rsid w:val="0068701C"/>
    <w:rsid w:val="006B0EE3"/>
    <w:rsid w:val="006E343D"/>
    <w:rsid w:val="006E7133"/>
    <w:rsid w:val="007321BD"/>
    <w:rsid w:val="00755EDE"/>
    <w:rsid w:val="007C4247"/>
    <w:rsid w:val="00801DC9"/>
    <w:rsid w:val="008312C1"/>
    <w:rsid w:val="00834D85"/>
    <w:rsid w:val="00835892"/>
    <w:rsid w:val="00872E9D"/>
    <w:rsid w:val="008C0169"/>
    <w:rsid w:val="008C34DB"/>
    <w:rsid w:val="00987A1B"/>
    <w:rsid w:val="009953E5"/>
    <w:rsid w:val="009B218C"/>
    <w:rsid w:val="00A50755"/>
    <w:rsid w:val="00A579D5"/>
    <w:rsid w:val="00A71070"/>
    <w:rsid w:val="00A93FB6"/>
    <w:rsid w:val="00AA3197"/>
    <w:rsid w:val="00AA3376"/>
    <w:rsid w:val="00AB4BD7"/>
    <w:rsid w:val="00B57A6E"/>
    <w:rsid w:val="00B64E39"/>
    <w:rsid w:val="00B83C0C"/>
    <w:rsid w:val="00BB7524"/>
    <w:rsid w:val="00BE0A23"/>
    <w:rsid w:val="00CA1E64"/>
    <w:rsid w:val="00CB11A6"/>
    <w:rsid w:val="00D17C34"/>
    <w:rsid w:val="00D36F4E"/>
    <w:rsid w:val="00D73856"/>
    <w:rsid w:val="00D8181C"/>
    <w:rsid w:val="00D94914"/>
    <w:rsid w:val="00DD5BFE"/>
    <w:rsid w:val="00DF00DC"/>
    <w:rsid w:val="00E31382"/>
    <w:rsid w:val="00E631A2"/>
    <w:rsid w:val="00E75B72"/>
    <w:rsid w:val="00EB4C6E"/>
    <w:rsid w:val="00EC2A32"/>
    <w:rsid w:val="00EC430A"/>
    <w:rsid w:val="00EC73AF"/>
    <w:rsid w:val="00F57124"/>
    <w:rsid w:val="00F90A3E"/>
    <w:rsid w:val="00FE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BA6340C-51D9-478C-B567-DDDD52E77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7939"/>
  </w:style>
  <w:style w:type="paragraph" w:styleId="Heading1">
    <w:name w:val="heading 1"/>
    <w:basedOn w:val="Normal"/>
    <w:next w:val="Normal"/>
    <w:rsid w:val="00E3138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E3138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E3138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E31382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rsid w:val="00E3138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E3138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E31382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rsid w:val="0085793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57939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857939"/>
    <w:rPr>
      <w:color w:val="0000FF" w:themeColor="hyperlink"/>
      <w:u w:val="single"/>
    </w:rPr>
  </w:style>
  <w:style w:type="paragraph" w:styleId="Subtitle">
    <w:name w:val="Subtitle"/>
    <w:basedOn w:val="Normal"/>
    <w:next w:val="Normal"/>
    <w:rsid w:val="00E3138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31382"/>
    <w:rPr>
      <w:sz w:val="20"/>
      <w:szCs w:val="20"/>
    </w:r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BE0A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0A23"/>
  </w:style>
  <w:style w:type="paragraph" w:styleId="Footer">
    <w:name w:val="footer"/>
    <w:basedOn w:val="Normal"/>
    <w:link w:val="FooterChar"/>
    <w:uiPriority w:val="99"/>
    <w:unhideWhenUsed/>
    <w:rsid w:val="00BE0A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0A23"/>
  </w:style>
  <w:style w:type="paragraph" w:styleId="BalloonText">
    <w:name w:val="Balloon Text"/>
    <w:basedOn w:val="Normal"/>
    <w:link w:val="BalloonTextChar"/>
    <w:uiPriority w:val="99"/>
    <w:semiHidden/>
    <w:unhideWhenUsed/>
    <w:rsid w:val="008C01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169"/>
    <w:rPr>
      <w:rFonts w:ascii="Segoe UI" w:hAnsi="Segoe UI" w:cs="Segoe UI"/>
      <w:sz w:val="18"/>
      <w:szCs w:val="18"/>
    </w:rPr>
  </w:style>
  <w:style w:type="paragraph" w:customStyle="1" w:styleId="Bullet1">
    <w:name w:val="Bullet 1"/>
    <w:basedOn w:val="Normal"/>
    <w:link w:val="Bullet1Char"/>
    <w:uiPriority w:val="99"/>
    <w:rsid w:val="008C0169"/>
    <w:pPr>
      <w:widowControl w:val="0"/>
      <w:spacing w:before="120"/>
      <w:jc w:val="both"/>
    </w:pPr>
  </w:style>
  <w:style w:type="character" w:customStyle="1" w:styleId="Bullet1Char">
    <w:name w:val="Bullet 1 Char"/>
    <w:link w:val="Bullet1"/>
    <w:uiPriority w:val="99"/>
    <w:rsid w:val="008C0169"/>
  </w:style>
  <w:style w:type="character" w:styleId="CommentReference">
    <w:name w:val="annotation reference"/>
    <w:basedOn w:val="DefaultParagraphFont"/>
    <w:uiPriority w:val="99"/>
    <w:semiHidden/>
    <w:unhideWhenUsed/>
    <w:rsid w:val="00872E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2E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2E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2E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2E9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870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1Du0v+2wqMvKiE929NprGgm8xg==">AMUW2mUffnLO+Nnvtce+3mqe4sDdQSYshyo0ogJoryQBOrDSGKol6k+kd0fZFAmZo/35/W3GFTUfTjCtFgqYXxZc+WnSzvJdiPfb59q3Gs+yLXSZFnqcW/Tr/xlqn6A2Hv6PInT8gLJc8hhGgXxohJHvrGsmQSrVZjW0YkcpN6AAkiTT4Au+rgkZdQkykS6+VPwLLkug5iFE4YV+D/DuusdqUjWo/Y1wv4gezEAGn2mEbxjeOgTuWD77DWnGSsfrKZw/U9dTFange+voZqbyFNn5PzIIu/7tyZyFFVWbunnpwJ8VabMbkWzDueOP5IauUF56PARLd+Mj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AA88163-A99D-4E89-8F09-5CB32AF75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993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Effective Practices Aligned with Indicator of Program Quality (IPQ) #6</vt:lpstr>
    </vt:vector>
  </TitlesOfParts>
  <Company>JSI</Company>
  <LinksUpToDate>false</LinksUpToDate>
  <CharactersWithSpaces>6646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Effective Practices Aligned with Indicator of Program Quality (IPQ) #6</dc:title>
  <dc:creator>sandy</dc:creator>
  <cp:lastModifiedBy>Luanne Teller</cp:lastModifiedBy>
  <cp:revision>2</cp:revision>
  <dcterms:created xsi:type="dcterms:W3CDTF">2020-10-28T11:00:00Z</dcterms:created>
  <dcterms:modified xsi:type="dcterms:W3CDTF">2020-10-28T11:00:00Z</dcterms:modified>
</cp:coreProperties>
</file>