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F81A" w14:textId="6EF84388" w:rsidR="00C005FB" w:rsidRPr="00E8448B" w:rsidRDefault="00C005FB" w:rsidP="00C005FB">
      <w:pPr>
        <w:spacing w:after="240"/>
        <w:jc w:val="center"/>
        <w:rPr>
          <w:rFonts w:asciiTheme="minorHAnsi" w:hAnsiTheme="minorHAnsi" w:cstheme="minorHAnsi"/>
          <w:color w:val="000000" w:themeColor="text1"/>
        </w:rPr>
      </w:pPr>
      <w:r>
        <w:rPr>
          <w:noProof/>
          <w:color w:val="403052"/>
        </w:rPr>
        <w:drawing>
          <wp:inline distT="0" distB="0" distL="0" distR="0" wp14:anchorId="4543A461" wp14:editId="379610A0">
            <wp:extent cx="3579495" cy="641233"/>
            <wp:effectExtent l="0" t="0" r="1905" b="6985"/>
            <wp:docPr id="3" name="Picture 3" descr="SABES logo. Massachusetts Public Adult Education Professional Development System logo; A public adult education of MA progra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ABES logo. Massachusetts Public Adult Education Professional Development System logo; A public adult education of MA program. 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0" b="11532"/>
                    <a:stretch/>
                  </pic:blipFill>
                  <pic:spPr bwMode="auto">
                    <a:xfrm>
                      <a:off x="0" y="0"/>
                      <a:ext cx="3628779" cy="650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6047D" w14:textId="1C5C0A53" w:rsidR="00853678" w:rsidRPr="007608D1" w:rsidRDefault="00853678" w:rsidP="00295D92">
      <w:pPr>
        <w:pStyle w:val="Heading1"/>
        <w:spacing w:after="200"/>
        <w:rPr>
          <w:szCs w:val="18"/>
        </w:rPr>
      </w:pPr>
      <w:r w:rsidRPr="00297F10">
        <w:t>Notating the</w:t>
      </w:r>
      <w:r w:rsidR="00CB6FD5" w:rsidRPr="00297F10">
        <w:t xml:space="preserve"> ELA Standards</w:t>
      </w:r>
      <w:r w:rsidR="00295D92">
        <w:br/>
      </w:r>
      <w:r w:rsidRPr="00295D92">
        <w:rPr>
          <w:b w:val="0"/>
          <w:bCs w:val="0"/>
          <w:sz w:val="24"/>
          <w:szCs w:val="24"/>
        </w:rPr>
        <w:t>for use with the CCRSAE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Notation Guidelines and Examples"/>
        <w:tblDescription w:val="The Notation Guidelines are to note the strand, reference the anchor standards number, note the level, and insert lower case letter to designate specific parts of long standards.  Example: SL1Cc stands for Speaking and Listening strand, anchor #1, level C, and sub-item c."/>
      </w:tblPr>
      <w:tblGrid>
        <w:gridCol w:w="5395"/>
        <w:gridCol w:w="4531"/>
      </w:tblGrid>
      <w:tr w:rsidR="00111A63" w:rsidRPr="00D559BF" w14:paraId="11E78C70" w14:textId="77777777" w:rsidTr="00EC2E38">
        <w:trPr>
          <w:trHeight w:val="215"/>
          <w:tblHeader/>
        </w:trPr>
        <w:tc>
          <w:tcPr>
            <w:tcW w:w="5395" w:type="dxa"/>
            <w:shd w:val="clear" w:color="auto" w:fill="E2EFD9" w:themeFill="accent6" w:themeFillTint="33"/>
            <w:vAlign w:val="center"/>
          </w:tcPr>
          <w:p w14:paraId="5E893BA3" w14:textId="3D6BF205" w:rsidR="00E16E74" w:rsidRPr="00D559BF" w:rsidRDefault="00111A63" w:rsidP="00C65623">
            <w:pPr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0" w:name="ColumnHeader_1"/>
            <w:bookmarkEnd w:id="0"/>
            <w:r w:rsidRPr="00D559B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Notation Guidelines</w:t>
            </w:r>
          </w:p>
        </w:tc>
        <w:tc>
          <w:tcPr>
            <w:tcW w:w="4531" w:type="dxa"/>
            <w:shd w:val="clear" w:color="auto" w:fill="E2EFD9" w:themeFill="accent6" w:themeFillTint="33"/>
            <w:vAlign w:val="center"/>
          </w:tcPr>
          <w:p w14:paraId="51C1C676" w14:textId="74BA4ECF" w:rsidR="00111A63" w:rsidRPr="00D559BF" w:rsidRDefault="00111A63" w:rsidP="00C65623">
            <w:pPr>
              <w:spacing w:before="4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559B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Examples</w:t>
            </w:r>
          </w:p>
        </w:tc>
      </w:tr>
      <w:tr w:rsidR="00F91A6E" w:rsidRPr="00D559BF" w14:paraId="1411D004" w14:textId="77777777" w:rsidTr="00C07255">
        <w:trPr>
          <w:trHeight w:val="2452"/>
        </w:trPr>
        <w:tc>
          <w:tcPr>
            <w:tcW w:w="5395" w:type="dxa"/>
          </w:tcPr>
          <w:p w14:paraId="632EAD7A" w14:textId="77777777" w:rsidR="00F91A6E" w:rsidRPr="00D52D51" w:rsidRDefault="00F91A6E" w:rsidP="007608D1">
            <w:pPr>
              <w:pStyle w:val="ListParagraph"/>
              <w:numPr>
                <w:ilvl w:val="0"/>
                <w:numId w:val="2"/>
              </w:numPr>
              <w:spacing w:before="60"/>
              <w:ind w:left="342" w:right="76"/>
              <w:contextualSpacing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52D51">
              <w:rPr>
                <w:rFonts w:cstheme="minorHAnsi"/>
                <w:color w:val="000000" w:themeColor="text1"/>
                <w:sz w:val="22"/>
                <w:szCs w:val="22"/>
              </w:rPr>
              <w:t xml:space="preserve">Note the </w:t>
            </w:r>
            <w:r w:rsidRPr="00D52D51">
              <w:rPr>
                <w:rFonts w:cstheme="minorHAnsi"/>
                <w:b/>
                <w:color w:val="000000" w:themeColor="text1"/>
                <w:sz w:val="22"/>
                <w:szCs w:val="22"/>
              </w:rPr>
              <w:t>Strand</w:t>
            </w:r>
            <w:r w:rsidRPr="00D52D51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9FF8A71" w14:textId="77777777" w:rsidR="00F91A6E" w:rsidRPr="00D52D51" w:rsidRDefault="00F91A6E" w:rsidP="00FE7C68">
            <w:pPr>
              <w:pStyle w:val="ListParagraph"/>
              <w:tabs>
                <w:tab w:val="left" w:pos="5099"/>
              </w:tabs>
              <w:spacing w:before="60"/>
              <w:ind w:left="342" w:right="76"/>
              <w:contextualSpacing w:val="0"/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D52D51">
              <w:rPr>
                <w:rFonts w:cstheme="minorHAnsi"/>
                <w:i/>
                <w:color w:val="000000" w:themeColor="text1"/>
                <w:sz w:val="22"/>
                <w:szCs w:val="22"/>
              </w:rPr>
              <w:t>(</w:t>
            </w:r>
            <w:r w:rsidRPr="00D52D51">
              <w:rPr>
                <w:rFonts w:cstheme="minorHAnsi"/>
                <w:b/>
                <w:bCs/>
                <w:i/>
                <w:color w:val="000000" w:themeColor="text1"/>
                <w:sz w:val="22"/>
                <w:szCs w:val="22"/>
              </w:rPr>
              <w:t>R</w:t>
            </w:r>
            <w:r w:rsidRPr="00D52D5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for Reading, </w:t>
            </w:r>
            <w:r w:rsidRPr="00D52D51">
              <w:rPr>
                <w:rFonts w:cstheme="minorHAnsi"/>
                <w:b/>
                <w:bCs/>
                <w:i/>
                <w:color w:val="000000" w:themeColor="text1"/>
                <w:sz w:val="22"/>
                <w:szCs w:val="22"/>
              </w:rPr>
              <w:t>W</w:t>
            </w:r>
            <w:r w:rsidRPr="00D52D5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for Writing, </w:t>
            </w:r>
            <w:r w:rsidRPr="00D52D51">
              <w:rPr>
                <w:rFonts w:cstheme="minorHAnsi"/>
                <w:b/>
                <w:bCs/>
                <w:i/>
                <w:color w:val="000000" w:themeColor="text1"/>
                <w:sz w:val="22"/>
                <w:szCs w:val="22"/>
              </w:rPr>
              <w:t>SL</w:t>
            </w:r>
            <w:r w:rsidRPr="00D52D5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for Speaking and Listening,</w:t>
            </w:r>
            <w:r w:rsidRPr="00D52D51">
              <w:rPr>
                <w:rFonts w:cstheme="minorHAnsi"/>
                <w:b/>
                <w:bCs/>
                <w:i/>
                <w:color w:val="000000" w:themeColor="text1"/>
                <w:sz w:val="22"/>
                <w:szCs w:val="22"/>
              </w:rPr>
              <w:t xml:space="preserve"> L</w:t>
            </w:r>
            <w:r w:rsidRPr="00D52D5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for Language, </w:t>
            </w:r>
            <w:r w:rsidRPr="00D52D51">
              <w:rPr>
                <w:rFonts w:cstheme="minorHAnsi"/>
                <w:b/>
                <w:bCs/>
                <w:i/>
                <w:color w:val="000000" w:themeColor="text1"/>
                <w:sz w:val="22"/>
                <w:szCs w:val="22"/>
              </w:rPr>
              <w:t>RF</w:t>
            </w:r>
            <w:r w:rsidRPr="00D52D5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for Reading Foundations)</w:t>
            </w:r>
          </w:p>
          <w:p w14:paraId="1B6ED8E9" w14:textId="77777777" w:rsidR="00F91A6E" w:rsidRPr="00D52D51" w:rsidRDefault="00F91A6E" w:rsidP="00CA51FC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bottom w:val="single" w:sz="4" w:space="1" w:color="auto"/>
              </w:pBdr>
              <w:spacing w:before="60" w:after="60"/>
              <w:ind w:left="342" w:right="76"/>
              <w:contextualSpacing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52D51">
              <w:rPr>
                <w:rFonts w:cstheme="minorHAnsi"/>
                <w:color w:val="000000" w:themeColor="text1"/>
                <w:sz w:val="22"/>
                <w:szCs w:val="22"/>
              </w:rPr>
              <w:t xml:space="preserve">Reference the </w:t>
            </w:r>
            <w:r w:rsidRPr="00D52D51">
              <w:rPr>
                <w:rFonts w:cstheme="minorHAnsi"/>
                <w:b/>
                <w:color w:val="000000" w:themeColor="text1"/>
                <w:sz w:val="22"/>
                <w:szCs w:val="22"/>
              </w:rPr>
              <w:t>Anchor Standard #</w:t>
            </w:r>
          </w:p>
          <w:p w14:paraId="06841D8B" w14:textId="77777777" w:rsidR="00F91A6E" w:rsidRPr="00D52D51" w:rsidRDefault="00F91A6E" w:rsidP="00CA51FC">
            <w:pPr>
              <w:pStyle w:val="ListParagraph"/>
              <w:numPr>
                <w:ilvl w:val="0"/>
                <w:numId w:val="2"/>
              </w:numPr>
              <w:pBdr>
                <w:bottom w:val="single" w:sz="4" w:space="1" w:color="auto"/>
              </w:pBdr>
              <w:spacing w:before="60" w:after="60"/>
              <w:ind w:left="342" w:right="76"/>
              <w:contextualSpacing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52D51">
              <w:rPr>
                <w:rFonts w:cstheme="minorHAnsi"/>
                <w:color w:val="000000" w:themeColor="text1"/>
                <w:sz w:val="22"/>
                <w:szCs w:val="22"/>
              </w:rPr>
              <w:t>Note the</w:t>
            </w:r>
            <w:r w:rsidRPr="00D52D5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Level</w:t>
            </w:r>
            <w:r w:rsidRPr="00D52D51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52D51">
              <w:rPr>
                <w:rFonts w:cstheme="minorHAnsi"/>
                <w:i/>
                <w:color w:val="000000" w:themeColor="text1"/>
                <w:sz w:val="22"/>
                <w:szCs w:val="22"/>
              </w:rPr>
              <w:t>(A through E)</w:t>
            </w:r>
          </w:p>
          <w:p w14:paraId="7B0369EB" w14:textId="156E0822" w:rsidR="00F91A6E" w:rsidRPr="00677389" w:rsidRDefault="00F91A6E" w:rsidP="00896D52">
            <w:pPr>
              <w:pStyle w:val="ListParagraph"/>
              <w:numPr>
                <w:ilvl w:val="0"/>
                <w:numId w:val="2"/>
              </w:numPr>
              <w:spacing w:before="60" w:after="60"/>
              <w:ind w:left="346" w:right="72"/>
              <w:contextualSpacing w:val="0"/>
              <w:rPr>
                <w:rFonts w:cstheme="minorHAnsi"/>
                <w:i/>
                <w:color w:val="7F7F7F" w:themeColor="text1" w:themeTint="80"/>
                <w:sz w:val="22"/>
                <w:szCs w:val="22"/>
              </w:rPr>
            </w:pPr>
            <w:r w:rsidRPr="00D52D51">
              <w:rPr>
                <w:rFonts w:cstheme="minorHAnsi"/>
                <w:color w:val="000000" w:themeColor="text1"/>
                <w:sz w:val="22"/>
                <w:szCs w:val="22"/>
              </w:rPr>
              <w:t xml:space="preserve">Insert lower case letters to </w:t>
            </w:r>
            <w:r w:rsidRPr="00D52D51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designate specific parts</w:t>
            </w:r>
            <w:r w:rsidRPr="00D52D51">
              <w:rPr>
                <w:rFonts w:cstheme="minorHAnsi"/>
                <w:color w:val="000000" w:themeColor="text1"/>
                <w:sz w:val="22"/>
                <w:szCs w:val="22"/>
              </w:rPr>
              <w:t xml:space="preserve"> of long standards</w:t>
            </w:r>
          </w:p>
        </w:tc>
        <w:tc>
          <w:tcPr>
            <w:tcW w:w="4531" w:type="dxa"/>
            <w:vAlign w:val="center"/>
          </w:tcPr>
          <w:p w14:paraId="52D6EE3B" w14:textId="6F85B8C3" w:rsidR="00F91A6E" w:rsidRPr="00E24EF9" w:rsidRDefault="00F91A6E" w:rsidP="00E24EF9">
            <w:pPr>
              <w:pStyle w:val="ListParagraph"/>
              <w:numPr>
                <w:ilvl w:val="0"/>
                <w:numId w:val="4"/>
              </w:numPr>
              <w:spacing w:after="360"/>
              <w:ind w:left="360" w:right="101"/>
              <w:contextualSpacing w:val="0"/>
              <w:rPr>
                <w:sz w:val="22"/>
                <w:szCs w:val="22"/>
              </w:rPr>
            </w:pPr>
            <w:r w:rsidRPr="00E24EF9">
              <w:rPr>
                <w:b/>
                <w:sz w:val="22"/>
                <w:szCs w:val="22"/>
              </w:rPr>
              <w:t>W7B</w:t>
            </w:r>
            <w:r w:rsidRPr="00E24EF9">
              <w:rPr>
                <w:sz w:val="22"/>
                <w:szCs w:val="22"/>
              </w:rPr>
              <w:t xml:space="preserve"> (for "Conduct short research projects that build knowledge about a topic.")</w:t>
            </w:r>
          </w:p>
          <w:p w14:paraId="4D035647" w14:textId="6EEC0796" w:rsidR="00F91A6E" w:rsidRPr="00677389" w:rsidRDefault="00F91A6E" w:rsidP="00E24EF9">
            <w:pPr>
              <w:pStyle w:val="ListParagraph"/>
              <w:numPr>
                <w:ilvl w:val="0"/>
                <w:numId w:val="4"/>
              </w:numPr>
              <w:ind w:left="360" w:right="101"/>
            </w:pPr>
            <w:r w:rsidRPr="00E24EF9">
              <w:rPr>
                <w:b/>
                <w:sz w:val="22"/>
                <w:szCs w:val="22"/>
              </w:rPr>
              <w:t>SL1Cc</w:t>
            </w:r>
            <w:r w:rsidRPr="00E24EF9">
              <w:rPr>
                <w:sz w:val="22"/>
                <w:szCs w:val="22"/>
              </w:rPr>
              <w:t xml:space="preserve"> (for “Pose and respond to specific questions by making comments that contribute to the discussion and elaborate on the remarks of others”)</w:t>
            </w:r>
          </w:p>
        </w:tc>
      </w:tr>
    </w:tbl>
    <w:p w14:paraId="69D643A2" w14:textId="000E4D4B" w:rsidR="00111A63" w:rsidRPr="00D212CE" w:rsidRDefault="00111A63" w:rsidP="00D212CE">
      <w:pPr>
        <w:pStyle w:val="Heading2"/>
      </w:pPr>
      <w:r w:rsidRPr="00D212CE">
        <w:t>Anchor Standards with Shorthand</w:t>
      </w:r>
      <w:r w:rsidR="00677389" w:rsidRPr="00D212CE">
        <w:t xml:space="preserve"> Examples</w:t>
      </w:r>
    </w:p>
    <w:p w14:paraId="3FB7F5DC" w14:textId="7DC1BB0F" w:rsidR="00677389" w:rsidRPr="00677389" w:rsidRDefault="00677389" w:rsidP="00DB469D">
      <w:pPr>
        <w:spacing w:after="240"/>
        <w:ind w:right="-54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67738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Including shorthand descriptions </w:t>
      </w:r>
      <w:r w:rsidR="004A04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in documents </w:t>
      </w:r>
      <w:r w:rsidRPr="0067738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with</w:t>
      </w:r>
      <w:r w:rsidR="004A04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CCRSAE</w:t>
      </w:r>
      <w:r w:rsidRPr="0067738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notations can help teachers remember key content from the standard. However, when teachers are planning units or lessons, they should read the </w:t>
      </w:r>
      <w:r w:rsidR="004A04D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details of each target </w:t>
      </w:r>
      <w:r w:rsidRPr="00677389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standard carefully to ensure they are targeting instruction appropriately.</w:t>
      </w:r>
    </w:p>
    <w:tbl>
      <w:tblPr>
        <w:tblW w:w="9969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Nicknames or Shorthand examples"/>
        <w:tblDescription w:val="Each anchor standard is listed with a brief notation, a nickname or shorthand, and the full text of the just the anchor. "/>
      </w:tblPr>
      <w:tblGrid>
        <w:gridCol w:w="3129"/>
        <w:gridCol w:w="6840"/>
      </w:tblGrid>
      <w:tr w:rsidR="001A7ECC" w:rsidRPr="00D559BF" w14:paraId="484098CE" w14:textId="77777777" w:rsidTr="00F64934">
        <w:trPr>
          <w:trHeight w:val="233"/>
          <w:tblHeader/>
        </w:trPr>
        <w:tc>
          <w:tcPr>
            <w:tcW w:w="3129" w:type="dxa"/>
            <w:tcBorders>
              <w:right w:val="single" w:sz="4" w:space="0" w:color="E2EFD9"/>
            </w:tcBorders>
            <w:shd w:val="clear" w:color="auto" w:fill="E2EFD9"/>
            <w:vAlign w:val="center"/>
          </w:tcPr>
          <w:p w14:paraId="5D562B16" w14:textId="58E417A1" w:rsidR="001A7ECC" w:rsidRPr="0057052A" w:rsidRDefault="001A7ECC" w:rsidP="0057052A">
            <w:pPr>
              <w:pStyle w:val="Heading3"/>
            </w:pPr>
            <w:bookmarkStart w:id="1" w:name="ColumnHeader_2"/>
            <w:bookmarkEnd w:id="1"/>
            <w:r w:rsidRPr="001A7ECC">
              <w:t>Reading</w:t>
            </w:r>
          </w:p>
        </w:tc>
        <w:tc>
          <w:tcPr>
            <w:tcW w:w="6840" w:type="dxa"/>
            <w:tcBorders>
              <w:left w:val="single" w:sz="4" w:space="0" w:color="E2EFD9"/>
            </w:tcBorders>
            <w:shd w:val="clear" w:color="auto" w:fill="E2EFD9" w:themeFill="accent6" w:themeFillTint="33"/>
            <w:vAlign w:val="center"/>
          </w:tcPr>
          <w:p w14:paraId="004F1DC2" w14:textId="77777777" w:rsidR="001A7ECC" w:rsidRPr="00176E46" w:rsidRDefault="001A7ECC" w:rsidP="007608D1">
            <w:pPr>
              <w:rPr>
                <w:rFonts w:asciiTheme="minorHAnsi" w:hAnsiTheme="minorHAnsi" w:cstheme="minorHAnsi"/>
                <w:color w:val="E2EFD9"/>
                <w:sz w:val="2"/>
                <w:szCs w:val="2"/>
              </w:rPr>
            </w:pPr>
            <w:r w:rsidRPr="00176E46">
              <w:rPr>
                <w:rFonts w:asciiTheme="minorHAnsi" w:hAnsiTheme="minorHAnsi" w:cstheme="minorHAnsi"/>
                <w:color w:val="E2EFD9"/>
                <w:sz w:val="2"/>
                <w:szCs w:val="2"/>
              </w:rPr>
              <w:t>Description</w:t>
            </w:r>
          </w:p>
          <w:p w14:paraId="41111ADE" w14:textId="783F1FFF" w:rsidR="0057052A" w:rsidRPr="00D559BF" w:rsidRDefault="0057052A" w:rsidP="007608D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*</w:t>
            </w:r>
            <w:r w:rsidRPr="007608D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Use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s</w:t>
            </w:r>
            <w:r w:rsidRPr="007608D1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tandards 1-9 with appropriately complex text as noted in standard 10.</w:t>
            </w:r>
          </w:p>
        </w:tc>
      </w:tr>
      <w:tr w:rsidR="00F13346" w:rsidRPr="00D559BF" w14:paraId="7D09F1B4" w14:textId="77777777" w:rsidTr="0069680B">
        <w:trPr>
          <w:trHeight w:val="806"/>
        </w:trPr>
        <w:tc>
          <w:tcPr>
            <w:tcW w:w="3129" w:type="dxa"/>
            <w:vAlign w:val="center"/>
          </w:tcPr>
          <w:p w14:paraId="7132EEB9" w14:textId="40C6F494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R1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(read closely and cite)</w:t>
            </w:r>
          </w:p>
        </w:tc>
        <w:tc>
          <w:tcPr>
            <w:tcW w:w="6840" w:type="dxa"/>
            <w:vAlign w:val="center"/>
          </w:tcPr>
          <w:p w14:paraId="116F7C8D" w14:textId="21CDF549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Read closely to determine what the text says explicitly and to make logical inferences from it; cite specific textual evidence when writing or speaking to support conclusions drawn from the </w:t>
            </w:r>
            <w:proofErr w:type="gramStart"/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text.*</w:t>
            </w:r>
            <w:proofErr w:type="gramEnd"/>
          </w:p>
        </w:tc>
      </w:tr>
      <w:tr w:rsidR="00F13346" w:rsidRPr="00D559BF" w14:paraId="359233F4" w14:textId="77777777" w:rsidTr="00677389">
        <w:trPr>
          <w:trHeight w:val="719"/>
        </w:trPr>
        <w:tc>
          <w:tcPr>
            <w:tcW w:w="3129" w:type="dxa"/>
            <w:vAlign w:val="center"/>
          </w:tcPr>
          <w:p w14:paraId="018A8759" w14:textId="722D62E7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R2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(main/supporting ideas)</w:t>
            </w:r>
          </w:p>
        </w:tc>
        <w:tc>
          <w:tcPr>
            <w:tcW w:w="6840" w:type="dxa"/>
            <w:vAlign w:val="center"/>
          </w:tcPr>
          <w:p w14:paraId="03217500" w14:textId="7547C4FD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Determine central ideas or themes of a text and analyze their development; summarize the key supporting details and </w:t>
            </w:r>
            <w:proofErr w:type="gramStart"/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ideas.*</w:t>
            </w:r>
            <w:proofErr w:type="gramEnd"/>
          </w:p>
        </w:tc>
      </w:tr>
      <w:tr w:rsidR="00F13346" w:rsidRPr="00D559BF" w14:paraId="7C195526" w14:textId="77777777" w:rsidTr="00677389">
        <w:trPr>
          <w:trHeight w:val="620"/>
        </w:trPr>
        <w:tc>
          <w:tcPr>
            <w:tcW w:w="3129" w:type="dxa"/>
            <w:vAlign w:val="center"/>
          </w:tcPr>
          <w:p w14:paraId="44DFDEE6" w14:textId="5101B81D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R3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(analyze individuals, events, ideas)</w:t>
            </w:r>
          </w:p>
        </w:tc>
        <w:tc>
          <w:tcPr>
            <w:tcW w:w="6840" w:type="dxa"/>
            <w:vAlign w:val="center"/>
          </w:tcPr>
          <w:p w14:paraId="7FF1D8DB" w14:textId="5D5D0516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Analyze how and why individuals, events, and ideas develop and interact over the course of a </w:t>
            </w:r>
            <w:proofErr w:type="gramStart"/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text.*</w:t>
            </w:r>
            <w:proofErr w:type="gramEnd"/>
          </w:p>
        </w:tc>
      </w:tr>
      <w:tr w:rsidR="00F13346" w:rsidRPr="00D559BF" w14:paraId="609C75F2" w14:textId="77777777" w:rsidTr="0069680B">
        <w:trPr>
          <w:trHeight w:val="806"/>
        </w:trPr>
        <w:tc>
          <w:tcPr>
            <w:tcW w:w="3129" w:type="dxa"/>
            <w:vAlign w:val="center"/>
          </w:tcPr>
          <w:p w14:paraId="72E47BED" w14:textId="694B1AAD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R4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(voc</w:t>
            </w:r>
            <w:r w:rsidR="007608D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ab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/word choice)</w:t>
            </w:r>
          </w:p>
        </w:tc>
        <w:tc>
          <w:tcPr>
            <w:tcW w:w="6840" w:type="dxa"/>
            <w:vAlign w:val="center"/>
          </w:tcPr>
          <w:p w14:paraId="579DED10" w14:textId="5498FB7A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Interpret words and phrases as they are used in a text, including determining technical, connotative, and figurative meanings, and analyze how specific word choices shape meaning or </w:t>
            </w:r>
            <w:proofErr w:type="gramStart"/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tone.*</w:t>
            </w:r>
            <w:proofErr w:type="gramEnd"/>
          </w:p>
        </w:tc>
      </w:tr>
      <w:tr w:rsidR="00F13346" w:rsidRPr="00D559BF" w14:paraId="17ACD165" w14:textId="77777777" w:rsidTr="0069680B">
        <w:trPr>
          <w:trHeight w:val="806"/>
        </w:trPr>
        <w:tc>
          <w:tcPr>
            <w:tcW w:w="3129" w:type="dxa"/>
            <w:vAlign w:val="center"/>
          </w:tcPr>
          <w:p w14:paraId="6D65BDC5" w14:textId="34541F59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R5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(text structure)</w:t>
            </w:r>
          </w:p>
        </w:tc>
        <w:tc>
          <w:tcPr>
            <w:tcW w:w="6840" w:type="dxa"/>
            <w:vAlign w:val="center"/>
          </w:tcPr>
          <w:p w14:paraId="4DB0EE25" w14:textId="0BF45309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Analyze the structure of texts, including how specific sentences, paragraphs and larger portions of the text (e.g., a section, chapter, scene, or stanza) relate to each other and the </w:t>
            </w:r>
            <w:proofErr w:type="gramStart"/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whole.*</w:t>
            </w:r>
            <w:proofErr w:type="gramEnd"/>
          </w:p>
        </w:tc>
      </w:tr>
      <w:tr w:rsidR="00F13346" w:rsidRPr="00D559BF" w14:paraId="40DC693E" w14:textId="77777777" w:rsidTr="00677389">
        <w:trPr>
          <w:trHeight w:val="602"/>
        </w:trPr>
        <w:tc>
          <w:tcPr>
            <w:tcW w:w="3129" w:type="dxa"/>
            <w:vAlign w:val="center"/>
          </w:tcPr>
          <w:p w14:paraId="5BE9BBE6" w14:textId="27056369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R6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(POV/purpose)</w:t>
            </w:r>
          </w:p>
        </w:tc>
        <w:tc>
          <w:tcPr>
            <w:tcW w:w="6840" w:type="dxa"/>
            <w:vAlign w:val="center"/>
          </w:tcPr>
          <w:p w14:paraId="30DA46D7" w14:textId="03E13599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Assess how point of view or purpose shapes the content and style of a text.</w:t>
            </w:r>
          </w:p>
        </w:tc>
      </w:tr>
      <w:tr w:rsidR="00F13346" w:rsidRPr="00D559BF" w14:paraId="1AB43877" w14:textId="77777777" w:rsidTr="006F3924">
        <w:trPr>
          <w:trHeight w:val="647"/>
        </w:trPr>
        <w:tc>
          <w:tcPr>
            <w:tcW w:w="3129" w:type="dxa"/>
            <w:vAlign w:val="center"/>
          </w:tcPr>
          <w:p w14:paraId="62BE3FC5" w14:textId="2A836E0F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R7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(diverse media/formats)</w:t>
            </w:r>
          </w:p>
        </w:tc>
        <w:tc>
          <w:tcPr>
            <w:tcW w:w="6840" w:type="dxa"/>
            <w:vAlign w:val="center"/>
          </w:tcPr>
          <w:p w14:paraId="4393DDE3" w14:textId="37224056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Integrate and evaluate content presented in diverse media and formats, including visually and quantitatively, as well as in </w:t>
            </w:r>
            <w:proofErr w:type="gramStart"/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words.*</w:t>
            </w:r>
            <w:proofErr w:type="gramEnd"/>
          </w:p>
        </w:tc>
      </w:tr>
      <w:tr w:rsidR="00F13346" w:rsidRPr="00D559BF" w14:paraId="37D96EE1" w14:textId="77777777" w:rsidTr="00677389">
        <w:trPr>
          <w:trHeight w:val="881"/>
        </w:trPr>
        <w:tc>
          <w:tcPr>
            <w:tcW w:w="3129" w:type="dxa"/>
            <w:vAlign w:val="center"/>
          </w:tcPr>
          <w:p w14:paraId="0EE6EF65" w14:textId="285DFF4F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R8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(analyzing/evaluating argument)</w:t>
            </w:r>
          </w:p>
        </w:tc>
        <w:tc>
          <w:tcPr>
            <w:tcW w:w="6840" w:type="dxa"/>
            <w:vAlign w:val="center"/>
          </w:tcPr>
          <w:p w14:paraId="1AF4AE8F" w14:textId="380AE255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Delineate and evaluate the argument and specific claims in a text, including the validity of the reasoning as well as the relevance and sufficiency of the </w:t>
            </w:r>
            <w:proofErr w:type="gramStart"/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evidence.*</w:t>
            </w:r>
            <w:proofErr w:type="gramEnd"/>
          </w:p>
        </w:tc>
      </w:tr>
      <w:tr w:rsidR="00F13346" w:rsidRPr="00D559BF" w14:paraId="36E7FDAD" w14:textId="77777777" w:rsidTr="006F3924">
        <w:trPr>
          <w:trHeight w:val="63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F254" w14:textId="1618B1EF" w:rsidR="00947171" w:rsidRPr="00947171" w:rsidRDefault="00217506" w:rsidP="00E54227">
            <w:p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R9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(multiple texts)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65E7" w14:textId="667FA429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Analyze how two or more texts address similar themes or topics in order to build knowledge or to compare the approaches the authors </w:t>
            </w:r>
            <w:proofErr w:type="gramStart"/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take.*</w:t>
            </w:r>
            <w:proofErr w:type="gramEnd"/>
          </w:p>
        </w:tc>
      </w:tr>
      <w:tr w:rsidR="00F13346" w:rsidRPr="00D559BF" w14:paraId="64F0B52F" w14:textId="77777777" w:rsidTr="00677389">
        <w:trPr>
          <w:trHeight w:val="62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F010" w14:textId="5DD4E060" w:rsidR="00217506" w:rsidRPr="00D559BF" w:rsidRDefault="00217506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R10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(text complexity)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A5A7" w14:textId="5933B83F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Read and comprehend complex literary and informational texts independently and proficiently.</w:t>
            </w:r>
          </w:p>
        </w:tc>
      </w:tr>
    </w:tbl>
    <w:p w14:paraId="6A94E628" w14:textId="77777777" w:rsidR="00AF08BB" w:rsidRDefault="00AF08BB">
      <w:pPr>
        <w:rPr>
          <w:rFonts w:asciiTheme="minorHAnsi" w:hAnsiTheme="minorHAnsi" w:cstheme="minorHAnsi"/>
          <w:sz w:val="22"/>
          <w:szCs w:val="22"/>
        </w:rPr>
        <w:sectPr w:rsidR="00AF08BB" w:rsidSect="0043195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1152" w:bottom="864" w:left="1152" w:header="720" w:footer="720" w:gutter="0"/>
          <w:cols w:space="720"/>
          <w:docGrid w:linePitch="360"/>
        </w:sectPr>
      </w:pPr>
    </w:p>
    <w:tbl>
      <w:tblPr>
        <w:tblW w:w="9969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9"/>
        <w:gridCol w:w="6840"/>
      </w:tblGrid>
      <w:tr w:rsidR="00AF08BB" w:rsidRPr="00D559BF" w14:paraId="44FCB1D0" w14:textId="77777777" w:rsidTr="00F64934">
        <w:trPr>
          <w:trHeight w:val="1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E2EFD9"/>
            </w:tcBorders>
            <w:shd w:val="clear" w:color="auto" w:fill="E2EFD9" w:themeFill="accent6" w:themeFillTint="33"/>
            <w:vAlign w:val="center"/>
          </w:tcPr>
          <w:p w14:paraId="4695E86B" w14:textId="77777777" w:rsidR="00AF08BB" w:rsidRPr="00D559BF" w:rsidRDefault="00AF08BB" w:rsidP="00487818">
            <w:pPr>
              <w:pStyle w:val="Heading3"/>
              <w:spacing w:before="40" w:after="40"/>
              <w:rPr>
                <w:sz w:val="22"/>
              </w:rPr>
            </w:pPr>
            <w:bookmarkStart w:id="2" w:name="ColumnHeader_3"/>
            <w:bookmarkEnd w:id="2"/>
            <w:r w:rsidRPr="007608D1">
              <w:t>Writing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E2EFD9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A06767E" w14:textId="416ADB78" w:rsidR="00AF08BB" w:rsidRPr="00FF0188" w:rsidRDefault="00AF08BB" w:rsidP="00CB6FD5">
            <w:pPr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  <w:r w:rsidRPr="00FF0188">
              <w:rPr>
                <w:rFonts w:asciiTheme="minorHAnsi" w:hAnsiTheme="minorHAnsi" w:cstheme="minorHAnsi"/>
                <w:color w:val="E2EFD9"/>
                <w:sz w:val="4"/>
                <w:szCs w:val="4"/>
              </w:rPr>
              <w:t>Description</w:t>
            </w:r>
          </w:p>
        </w:tc>
      </w:tr>
      <w:tr w:rsidR="00F13346" w:rsidRPr="00D559BF" w14:paraId="2B6B9F10" w14:textId="77777777" w:rsidTr="00CB6FD5">
        <w:trPr>
          <w:trHeight w:val="683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63F0" w14:textId="753C615B" w:rsidR="00217506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W1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(write arguments)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1529" w14:textId="2284DB85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Write arguments to support claims in an analysis of substantive topics or texts, using valid reasoning and relevant and sufficient evidence.</w:t>
            </w:r>
          </w:p>
        </w:tc>
      </w:tr>
      <w:tr w:rsidR="00F13346" w:rsidRPr="00D559BF" w14:paraId="1A4EC8DD" w14:textId="77777777" w:rsidTr="00CB6FD5">
        <w:trPr>
          <w:trHeight w:val="989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1E222" w14:textId="65299109" w:rsidR="00217506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W2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(write explanatory texts)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6873" w14:textId="1977C31C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Write informative/explanatory texts to examine and convey complex ideas and information clearly and accurately through the effective selection, organization, and analysis of content.</w:t>
            </w:r>
          </w:p>
        </w:tc>
      </w:tr>
      <w:tr w:rsidR="00F13346" w:rsidRPr="00D559BF" w14:paraId="7C98C57A" w14:textId="77777777" w:rsidTr="00CB6FD5">
        <w:trPr>
          <w:trHeight w:val="98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8BE4" w14:textId="5AC59DF3" w:rsidR="00217506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W3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(write narratives)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3784" w14:textId="68D0486F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Write narratives to develop real or imagined experiences or events using effective technique, well-chosen details and well-structured event sequence (not a priority after Level B).</w:t>
            </w:r>
          </w:p>
        </w:tc>
      </w:tr>
      <w:tr w:rsidR="00F13346" w:rsidRPr="00D559BF" w14:paraId="4AE9D917" w14:textId="77777777" w:rsidTr="00CB6FD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C359" w14:textId="6844B2A2" w:rsidR="00217506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W4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(match writing to </w:t>
            </w:r>
            <w:r w:rsidR="00CB6FD5"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context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B552" w14:textId="6E8058FE" w:rsidR="00CB6FD5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Produce clear and coherent writing in which the development, organization, and style are appropriate to the task, purpose, and audience.</w:t>
            </w:r>
          </w:p>
        </w:tc>
      </w:tr>
      <w:tr w:rsidR="00F13346" w:rsidRPr="00D559BF" w14:paraId="64232E50" w14:textId="77777777" w:rsidTr="00CB6FD5">
        <w:trPr>
          <w:trHeight w:val="71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1A14" w14:textId="08FB9284" w:rsidR="00217506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W5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(writing process)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3B86" w14:textId="5C4B58ED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Develop and strengthen writing as needed by planning, revising, editing, rewriting, or trying a new approach.</w:t>
            </w:r>
          </w:p>
        </w:tc>
      </w:tr>
      <w:tr w:rsidR="00F13346" w:rsidRPr="00D559BF" w14:paraId="372228D0" w14:textId="77777777" w:rsidTr="00CB6FD5">
        <w:trPr>
          <w:trHeight w:val="70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9A77" w14:textId="5C8FF450" w:rsidR="00217506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W6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(use technology</w:t>
            </w:r>
            <w:r w:rsidR="009D5AA1"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to write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9775" w14:textId="536074AE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Use technology, including the Internet, to produce and publish writing and to interact and co</w:t>
            </w:r>
            <w:r w:rsidR="009D5AA1"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</w:t>
            </w: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laborate with others.</w:t>
            </w:r>
          </w:p>
        </w:tc>
      </w:tr>
      <w:tr w:rsidR="00F13346" w:rsidRPr="00D559BF" w14:paraId="1E0479B1" w14:textId="77777777" w:rsidTr="00CB6FD5">
        <w:trPr>
          <w:trHeight w:val="72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353B" w14:textId="2ADA69A5" w:rsidR="009D5AA1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W7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D5AA1"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(research projects)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6BDB" w14:textId="5DB5D0EB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F13346" w:rsidRPr="00D559BF" w14:paraId="3F5CBAC3" w14:textId="77777777" w:rsidTr="00CB6FD5">
        <w:trPr>
          <w:trHeight w:val="97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3991" w14:textId="5DB6C7F8" w:rsidR="00217506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W8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D5AA1"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(gather info)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C25F" w14:textId="2443F25E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Gather relevant information from multiple print and digital sources, assess the credibility and accuracy of each source, and integrate the information while avoiding plagiarism.</w:t>
            </w:r>
          </w:p>
        </w:tc>
      </w:tr>
      <w:tr w:rsidR="00F13346" w:rsidRPr="00D559BF" w14:paraId="0FF474BE" w14:textId="77777777" w:rsidTr="00CB6FD5">
        <w:trPr>
          <w:trHeight w:val="71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5386" w14:textId="300E5733" w:rsidR="00217506" w:rsidRPr="00D559BF" w:rsidRDefault="00217506" w:rsidP="00CB6F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W9</w:t>
            </w:r>
            <w:r w:rsidR="009D5AA1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D5AA1"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(use evidence)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93A" w14:textId="0F96B900" w:rsidR="00217506" w:rsidRPr="00D559BF" w:rsidRDefault="00217506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Draw evidence from literary or informational texts to support analysis, reflection, and research</w:t>
            </w:r>
          </w:p>
        </w:tc>
      </w:tr>
    </w:tbl>
    <w:p w14:paraId="6D4E6A44" w14:textId="77777777" w:rsidR="00AF08BB" w:rsidRDefault="00AF08BB">
      <w:pPr>
        <w:rPr>
          <w:rFonts w:asciiTheme="minorHAnsi" w:hAnsiTheme="minorHAnsi" w:cstheme="minorHAnsi"/>
        </w:rPr>
        <w:sectPr w:rsidR="00AF08BB" w:rsidSect="00431959">
          <w:type w:val="continuous"/>
          <w:pgSz w:w="12240" w:h="15840"/>
          <w:pgMar w:top="720" w:right="1152" w:bottom="864" w:left="1152" w:header="720" w:footer="720" w:gutter="0"/>
          <w:cols w:space="720"/>
          <w:docGrid w:linePitch="360"/>
        </w:sectPr>
      </w:pPr>
    </w:p>
    <w:tbl>
      <w:tblPr>
        <w:tblW w:w="9969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9"/>
        <w:gridCol w:w="6840"/>
      </w:tblGrid>
      <w:tr w:rsidR="003D04BB" w:rsidRPr="007608D1" w14:paraId="505D0E80" w14:textId="77777777" w:rsidTr="00F64934">
        <w:trPr>
          <w:trHeight w:val="251"/>
          <w:tblHeader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E2EFD9"/>
            </w:tcBorders>
            <w:shd w:val="clear" w:color="auto" w:fill="E2EFD9" w:themeFill="accent6" w:themeFillTint="33"/>
            <w:vAlign w:val="center"/>
          </w:tcPr>
          <w:p w14:paraId="45E69D28" w14:textId="77777777" w:rsidR="003D04BB" w:rsidRPr="007608D1" w:rsidRDefault="003D04BB" w:rsidP="00487818">
            <w:pPr>
              <w:pStyle w:val="Heading3"/>
              <w:spacing w:before="40" w:after="40"/>
            </w:pPr>
            <w:bookmarkStart w:id="3" w:name="ColumnHeader_4"/>
            <w:bookmarkEnd w:id="3"/>
            <w:r w:rsidRPr="007608D1">
              <w:t xml:space="preserve">Speaking and </w:t>
            </w:r>
            <w:proofErr w:type="gramStart"/>
            <w:r w:rsidRPr="007608D1">
              <w:t>Listening</w:t>
            </w:r>
            <w:proofErr w:type="gramEnd"/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E2EFD9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3F3F078" w14:textId="5F8E4406" w:rsidR="003D04BB" w:rsidRPr="00FF0188" w:rsidRDefault="003D04BB" w:rsidP="00CC5DBA">
            <w:pPr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  <w:r w:rsidRPr="00FF0188">
              <w:rPr>
                <w:rFonts w:asciiTheme="minorHAnsi" w:hAnsiTheme="minorHAnsi" w:cstheme="minorHAnsi"/>
                <w:color w:val="E2EFD9"/>
                <w:sz w:val="4"/>
                <w:szCs w:val="4"/>
              </w:rPr>
              <w:t>Description</w:t>
            </w:r>
          </w:p>
        </w:tc>
      </w:tr>
      <w:tr w:rsidR="00AF08BB" w:rsidRPr="00D559BF" w14:paraId="51CBF74D" w14:textId="77777777" w:rsidTr="00CC5DBA">
        <w:trPr>
          <w:trHeight w:val="88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155A" w14:textId="77777777" w:rsidR="00AF08BB" w:rsidRPr="00D559BF" w:rsidRDefault="00AF08BB" w:rsidP="00CC5DBA">
            <w:pPr>
              <w:ind w:left="408" w:hanging="40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SL1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(converse and collaborate)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D0CB" w14:textId="77777777" w:rsidR="00AF08BB" w:rsidRPr="00D559BF" w:rsidRDefault="00AF08BB" w:rsidP="00CC5D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 for and participate effectively on a range of conversations and collaborations with diverse partners, building on others’ ideas and expressing their own clearly and persuasively.</w:t>
            </w:r>
          </w:p>
        </w:tc>
      </w:tr>
      <w:tr w:rsidR="00AF08BB" w:rsidRPr="00D559BF" w14:paraId="7B12FCA9" w14:textId="77777777" w:rsidTr="00CC5DBA">
        <w:trPr>
          <w:trHeight w:val="71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330C" w14:textId="77777777" w:rsidR="00AF08BB" w:rsidRPr="00D559BF" w:rsidRDefault="00AF08BB" w:rsidP="00CC5DBA">
            <w:pPr>
              <w:ind w:left="408" w:hanging="40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SL2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(integrate/eval graphic and oral info)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0051" w14:textId="77777777" w:rsidR="00AF08BB" w:rsidRPr="00D559BF" w:rsidRDefault="00AF08BB" w:rsidP="00CC5D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Integrate and evaluate information presented in diverse media and formats, including visually, quantitatively, and orally.</w:t>
            </w:r>
          </w:p>
        </w:tc>
      </w:tr>
      <w:tr w:rsidR="00AF08BB" w:rsidRPr="00D559BF" w14:paraId="68188C0C" w14:textId="77777777" w:rsidTr="00CC5DBA">
        <w:trPr>
          <w:trHeight w:val="69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EC69" w14:textId="77777777" w:rsidR="00AF08BB" w:rsidRPr="00D559BF" w:rsidRDefault="00AF08BB" w:rsidP="00CC5DBA">
            <w:pPr>
              <w:ind w:left="408" w:hanging="40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SL3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(evaluate speaker)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4C4A" w14:textId="77777777" w:rsidR="00AF08BB" w:rsidRPr="00D559BF" w:rsidRDefault="00AF08BB" w:rsidP="00CC5D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Evaluate a speaker’s point of view, reasoning, and use of evidence and rhetoric.</w:t>
            </w:r>
          </w:p>
        </w:tc>
      </w:tr>
      <w:tr w:rsidR="00AF08BB" w:rsidRPr="00D559BF" w14:paraId="1764B164" w14:textId="77777777" w:rsidTr="00CC5DBA">
        <w:trPr>
          <w:trHeight w:val="96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880C" w14:textId="77777777" w:rsidR="00AF08BB" w:rsidRPr="00D559BF" w:rsidRDefault="00AF08BB" w:rsidP="00CC5DBA">
            <w:pPr>
              <w:ind w:left="408" w:hanging="40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SL4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(present info)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E61C" w14:textId="77777777" w:rsidR="00AF08BB" w:rsidRPr="00D559BF" w:rsidRDefault="00AF08BB" w:rsidP="00CC5D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Present information, findings, and supporting evidence such that listeners can follow the line of reasoning and the organization, development, and style are appropriate to the task, purpose, and audience.</w:t>
            </w:r>
          </w:p>
        </w:tc>
      </w:tr>
      <w:tr w:rsidR="00AF08BB" w:rsidRPr="00D559BF" w14:paraId="6B37BECF" w14:textId="77777777" w:rsidTr="00CC5DBA">
        <w:trPr>
          <w:trHeight w:val="69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0E7E" w14:textId="77777777" w:rsidR="00AF08BB" w:rsidRPr="00D559BF" w:rsidRDefault="00AF08BB" w:rsidP="00CC5DBA">
            <w:pPr>
              <w:ind w:left="408" w:hanging="40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SL5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(use technology to present)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9DFC" w14:textId="77777777" w:rsidR="00AF08BB" w:rsidRPr="00D559BF" w:rsidRDefault="00AF08BB" w:rsidP="00CC5D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Make strategic use of digital media and visual displays of data to express information and enhance understanding of presentations</w:t>
            </w:r>
          </w:p>
        </w:tc>
      </w:tr>
      <w:tr w:rsidR="00AF08BB" w:rsidRPr="00D559BF" w14:paraId="6307F5A2" w14:textId="77777777" w:rsidTr="00CC5DBA">
        <w:trPr>
          <w:trHeight w:val="91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0B7A" w14:textId="77777777" w:rsidR="00AF08BB" w:rsidRPr="00D559BF" w:rsidRDefault="00AF08BB" w:rsidP="00CC5DBA">
            <w:pPr>
              <w:ind w:left="408" w:hanging="40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SL6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(adapt speech)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1FF7" w14:textId="77777777" w:rsidR="00AF08BB" w:rsidRPr="00D559BF" w:rsidRDefault="00AF08BB" w:rsidP="00CC5DB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Adapt speech to a variety of contexts and communicative tasks, demonstrating a command of formal English when indicated or appropriate</w:t>
            </w:r>
          </w:p>
        </w:tc>
      </w:tr>
    </w:tbl>
    <w:p w14:paraId="744F9575" w14:textId="77777777" w:rsidR="00AF08BB" w:rsidRDefault="00AF08BB">
      <w:pPr>
        <w:rPr>
          <w:rFonts w:asciiTheme="minorHAnsi" w:hAnsiTheme="minorHAnsi" w:cstheme="minorHAnsi"/>
        </w:rPr>
        <w:sectPr w:rsidR="00AF08BB" w:rsidSect="00431959">
          <w:type w:val="continuous"/>
          <w:pgSz w:w="12240" w:h="15840"/>
          <w:pgMar w:top="720" w:right="1152" w:bottom="864" w:left="1152" w:header="720" w:footer="720" w:gutter="0"/>
          <w:cols w:space="720"/>
          <w:docGrid w:linePitch="360"/>
        </w:sectPr>
      </w:pPr>
    </w:p>
    <w:tbl>
      <w:tblPr>
        <w:tblW w:w="9969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9"/>
        <w:gridCol w:w="6840"/>
      </w:tblGrid>
      <w:tr w:rsidR="003D04BB" w:rsidRPr="00D559BF" w14:paraId="6A2C34C3" w14:textId="77777777" w:rsidTr="00F64934">
        <w:trPr>
          <w:trHeight w:val="27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E2EFD9"/>
            </w:tcBorders>
            <w:shd w:val="clear" w:color="auto" w:fill="E2EFD9" w:themeFill="accent6" w:themeFillTint="33"/>
            <w:vAlign w:val="center"/>
          </w:tcPr>
          <w:p w14:paraId="0F5AA1F9" w14:textId="77777777" w:rsidR="003D04BB" w:rsidRPr="00D559BF" w:rsidRDefault="003D04BB" w:rsidP="00487818">
            <w:pPr>
              <w:pStyle w:val="Heading3"/>
              <w:spacing w:before="40" w:after="40"/>
              <w:rPr>
                <w:sz w:val="22"/>
              </w:rPr>
            </w:pPr>
            <w:bookmarkStart w:id="4" w:name="ColumnHeader_5"/>
            <w:bookmarkEnd w:id="4"/>
            <w:r w:rsidRPr="007608D1">
              <w:t>Language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E2EFD9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1C5BE8F" w14:textId="35A0BF84" w:rsidR="003D04BB" w:rsidRPr="00FF0188" w:rsidRDefault="003D04BB" w:rsidP="00CB6FD5">
            <w:pPr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  <w:r w:rsidRPr="00FF0188">
              <w:rPr>
                <w:rFonts w:asciiTheme="minorHAnsi" w:hAnsiTheme="minorHAnsi" w:cstheme="minorHAnsi"/>
                <w:color w:val="E2EFD9"/>
                <w:sz w:val="4"/>
                <w:szCs w:val="4"/>
              </w:rPr>
              <w:t>Description</w:t>
            </w:r>
          </w:p>
        </w:tc>
      </w:tr>
      <w:tr w:rsidR="00F13346" w:rsidRPr="00D559BF" w14:paraId="7EB7479D" w14:textId="77777777" w:rsidTr="00CB6FD5">
        <w:trPr>
          <w:trHeight w:val="67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1241" w14:textId="4BF22376" w:rsidR="009D5AA1" w:rsidRPr="00D559BF" w:rsidRDefault="009D5AA1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L1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(grammar and usage)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E942" w14:textId="4D554C46" w:rsidR="009D5AA1" w:rsidRPr="00D559BF" w:rsidRDefault="009D5AA1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Demonstrate command of the conventions of standard English grammar and usage when writing or speaking.</w:t>
            </w:r>
          </w:p>
        </w:tc>
      </w:tr>
      <w:tr w:rsidR="00F13346" w:rsidRPr="00D559BF" w14:paraId="260597F3" w14:textId="77777777" w:rsidTr="00CB6FD5">
        <w:trPr>
          <w:trHeight w:val="67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4C8B" w14:textId="05BEA17C" w:rsidR="009D5AA1" w:rsidRPr="00D559BF" w:rsidRDefault="009D5AA1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L2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(capitalization, </w:t>
            </w:r>
            <w:proofErr w:type="spellStart"/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punc</w:t>
            </w:r>
            <w:proofErr w:type="spellEnd"/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., spelling)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49BD" w14:textId="77777777" w:rsidR="009D5AA1" w:rsidRPr="00D559BF" w:rsidRDefault="009D5AA1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Demonstrate command of the conventions of standard English capitalization, punctuation, and spelling when writing.</w:t>
            </w:r>
          </w:p>
        </w:tc>
      </w:tr>
      <w:tr w:rsidR="00F13346" w:rsidRPr="00D559BF" w14:paraId="1125D773" w14:textId="77777777" w:rsidTr="00CB6FD5">
        <w:trPr>
          <w:trHeight w:val="103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1946" w14:textId="1C37FE8B" w:rsidR="009D5AA1" w:rsidRPr="00D559BF" w:rsidRDefault="009D5AA1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L3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(language choices)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DDF4" w14:textId="5F3347C5" w:rsidR="009D5AA1" w:rsidRPr="00D559BF" w:rsidRDefault="009D5AA1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Apply knowledge of language to understand how language functions in different contexts, to make effective choices for meaning or style, and to comprehend more fully when reading or listening.</w:t>
            </w:r>
          </w:p>
        </w:tc>
      </w:tr>
      <w:tr w:rsidR="00F13346" w:rsidRPr="00D559BF" w14:paraId="7118342D" w14:textId="77777777" w:rsidTr="00CB6FD5">
        <w:trPr>
          <w:trHeight w:val="91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095A" w14:textId="3FE81044" w:rsidR="009D5AA1" w:rsidRPr="00D559BF" w:rsidRDefault="009D5AA1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L4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(discerning word meanings)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A05E" w14:textId="3CC4A679" w:rsidR="009D5AA1" w:rsidRPr="00D559BF" w:rsidRDefault="009D5AA1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Determine or clarify the meaning of unknown and multiple-meaning words and phrases by using context clues, analyzing meaningful word parts, and consulting general and specialized reference materials, as appropriate.</w:t>
            </w:r>
          </w:p>
        </w:tc>
      </w:tr>
      <w:tr w:rsidR="00F13346" w:rsidRPr="00D559BF" w14:paraId="4FDD88C5" w14:textId="77777777" w:rsidTr="00CB6FD5">
        <w:trPr>
          <w:trHeight w:val="73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9044" w14:textId="4B532FB9" w:rsidR="009D5AA1" w:rsidRPr="00D559BF" w:rsidRDefault="009D5AA1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L5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(figurative lang./word relationships)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3920" w14:textId="145FDD97" w:rsidR="009D5AA1" w:rsidRPr="00D559BF" w:rsidRDefault="009D5AA1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Demonstrate understanding of figurative language, word relationships, and nuances in word meanings.</w:t>
            </w:r>
          </w:p>
        </w:tc>
      </w:tr>
      <w:tr w:rsidR="00F13346" w:rsidRPr="00D559BF" w14:paraId="196550B5" w14:textId="77777777" w:rsidTr="00CB6FD5">
        <w:trPr>
          <w:trHeight w:val="143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C90F" w14:textId="79A06F49" w:rsidR="009D5AA1" w:rsidRPr="00D559BF" w:rsidRDefault="009D5AA1" w:rsidP="007608D1">
            <w:pPr>
              <w:ind w:left="318" w:hanging="31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L6 </w:t>
            </w:r>
            <w:r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(acquire and use vocab)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FF20" w14:textId="3965E06F" w:rsidR="009D5AA1" w:rsidRPr="00D559BF" w:rsidRDefault="009D5AA1" w:rsidP="00CB6F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Acquire and use accurately a range of general academic and domain-specific words and phrases sufficient for reading, writing, speaking, and listening at the college and career readiness level; demonstrate independence in gathering vocabulary knowledge when encountering a word or phrase important to comprehension or expression.</w:t>
            </w:r>
          </w:p>
        </w:tc>
      </w:tr>
    </w:tbl>
    <w:p w14:paraId="2C2592EE" w14:textId="77777777" w:rsidR="00AF08BB" w:rsidRDefault="00AF08BB">
      <w:pPr>
        <w:rPr>
          <w:rFonts w:asciiTheme="minorHAnsi" w:hAnsiTheme="minorHAnsi" w:cstheme="minorHAnsi"/>
          <w:color w:val="000000" w:themeColor="text1"/>
          <w:sz w:val="21"/>
          <w:szCs w:val="21"/>
        </w:rPr>
        <w:sectPr w:rsidR="00AF08BB" w:rsidSect="00431959">
          <w:type w:val="continuous"/>
          <w:pgSz w:w="12240" w:h="15840"/>
          <w:pgMar w:top="720" w:right="1152" w:bottom="864" w:left="1152" w:header="720" w:footer="720" w:gutter="0"/>
          <w:cols w:space="720"/>
          <w:docGrid w:linePitch="360"/>
        </w:sectPr>
      </w:pPr>
    </w:p>
    <w:tbl>
      <w:tblPr>
        <w:tblW w:w="9969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9"/>
        <w:gridCol w:w="6840"/>
      </w:tblGrid>
      <w:tr w:rsidR="003D04BB" w:rsidRPr="00D559BF" w14:paraId="05370420" w14:textId="77777777" w:rsidTr="00F64934">
        <w:trPr>
          <w:trHeight w:val="27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E2EFD9"/>
            </w:tcBorders>
            <w:shd w:val="clear" w:color="auto" w:fill="E2EFD9" w:themeFill="accent6" w:themeFillTint="33"/>
            <w:vAlign w:val="center"/>
          </w:tcPr>
          <w:p w14:paraId="12C73C58" w14:textId="77777777" w:rsidR="003D04BB" w:rsidRPr="007608D1" w:rsidRDefault="003D04BB" w:rsidP="00487818">
            <w:pPr>
              <w:pStyle w:val="Heading3"/>
              <w:spacing w:before="40" w:after="40"/>
            </w:pPr>
            <w:bookmarkStart w:id="5" w:name="ColumnHeader_6"/>
            <w:bookmarkEnd w:id="5"/>
            <w:r w:rsidRPr="007608D1">
              <w:t>Foundational Skills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E2EFD9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CB56029" w14:textId="08BA999D" w:rsidR="003D04BB" w:rsidRPr="00FF0188" w:rsidRDefault="003D04BB" w:rsidP="001A6D75">
            <w:pPr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  <w:r w:rsidRPr="00FF0188">
              <w:rPr>
                <w:rFonts w:asciiTheme="minorHAnsi" w:hAnsiTheme="minorHAnsi" w:cstheme="minorHAnsi"/>
                <w:color w:val="E2EFD9"/>
                <w:sz w:val="4"/>
                <w:szCs w:val="4"/>
              </w:rPr>
              <w:t>Description</w:t>
            </w:r>
          </w:p>
        </w:tc>
      </w:tr>
      <w:tr w:rsidR="0069680B" w:rsidRPr="00D559BF" w14:paraId="7D839E3B" w14:textId="77777777" w:rsidTr="00545CB3">
        <w:trPr>
          <w:trHeight w:val="85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0396" w14:textId="379FC0E5" w:rsidR="0069680B" w:rsidRPr="00D559BF" w:rsidRDefault="0069680B" w:rsidP="007608D1">
            <w:pPr>
              <w:ind w:left="498" w:hanging="498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RF</w:t>
            </w:r>
            <w:r w:rsidR="00D559BF" w:rsidRPr="00D559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.2</w:t>
            </w:r>
            <w:r w:rsidR="00D559BF" w:rsidRPr="00D559B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(phonological awareness)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61AA" w14:textId="49A519C4" w:rsidR="0069680B" w:rsidRPr="00545CB3" w:rsidRDefault="00D559BF" w:rsidP="001A6D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59BF">
              <w:rPr>
                <w:rStyle w:val="markedcontent"/>
                <w:rFonts w:asciiTheme="minorHAnsi" w:eastAsia="Calibri" w:hAnsiTheme="minorHAnsi" w:cstheme="minorHAnsi"/>
                <w:sz w:val="22"/>
                <w:szCs w:val="22"/>
              </w:rPr>
              <w:t>Demonstrate understanding of spoken words, syllables, and sounds (phonemes). (Phonological Awareness)</w:t>
            </w:r>
          </w:p>
        </w:tc>
      </w:tr>
      <w:tr w:rsidR="00D559BF" w:rsidRPr="00D559BF" w14:paraId="1338DD65" w14:textId="77777777" w:rsidTr="001A6D75">
        <w:trPr>
          <w:trHeight w:val="67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284B" w14:textId="652DC597" w:rsidR="00D559BF" w:rsidRPr="00D559BF" w:rsidRDefault="00D559BF" w:rsidP="009C76C9">
            <w:pPr>
              <w:ind w:left="498" w:hanging="49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Style w:val="markedcontent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RF.3</w:t>
            </w:r>
            <w:r w:rsidRPr="00D559BF">
              <w:rPr>
                <w:rStyle w:val="markedcontent"/>
                <w:rFonts w:asciiTheme="minorHAnsi" w:eastAsia="Calibri" w:hAnsiTheme="minorHAnsi" w:cstheme="minorHAnsi"/>
                <w:sz w:val="22"/>
                <w:szCs w:val="22"/>
              </w:rPr>
              <w:t xml:space="preserve"> (phonics and word recognition)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695C" w14:textId="17F37FA3" w:rsidR="00D559BF" w:rsidRPr="00D559BF" w:rsidRDefault="00D559BF" w:rsidP="00D559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59BF">
              <w:rPr>
                <w:rStyle w:val="markedcontent"/>
                <w:rFonts w:asciiTheme="minorHAnsi" w:eastAsia="Calibri" w:hAnsiTheme="minorHAnsi" w:cstheme="minorHAnsi"/>
                <w:sz w:val="22"/>
                <w:szCs w:val="22"/>
              </w:rPr>
              <w:t>Know and apply grade-level phonics and word analysis skills in decoding words. (Phonics and Word Recognition)</w:t>
            </w:r>
          </w:p>
        </w:tc>
      </w:tr>
      <w:tr w:rsidR="00D559BF" w:rsidRPr="00D559BF" w14:paraId="43CF1A04" w14:textId="77777777" w:rsidTr="001A6D75">
        <w:trPr>
          <w:trHeight w:val="674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D3FFA" w14:textId="28020FE4" w:rsidR="00D559BF" w:rsidRPr="00D559BF" w:rsidRDefault="00D559BF" w:rsidP="009C76C9">
            <w:pPr>
              <w:ind w:left="498" w:hanging="49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559BF">
              <w:rPr>
                <w:rStyle w:val="markedcontent"/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RF.4</w:t>
            </w:r>
            <w:r w:rsidRPr="00D559BF">
              <w:rPr>
                <w:rStyle w:val="markedcontent"/>
                <w:rFonts w:asciiTheme="minorHAnsi" w:eastAsia="Calibri" w:hAnsiTheme="minorHAnsi" w:cstheme="minorHAnsi"/>
                <w:sz w:val="22"/>
                <w:szCs w:val="22"/>
              </w:rPr>
              <w:t xml:space="preserve"> (fluency)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0A7" w14:textId="23A06CDA" w:rsidR="00D559BF" w:rsidRPr="00D559BF" w:rsidRDefault="00D559BF" w:rsidP="00D559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59BF">
              <w:rPr>
                <w:rStyle w:val="markedcontent"/>
                <w:rFonts w:asciiTheme="minorHAnsi" w:eastAsia="Calibri" w:hAnsiTheme="minorHAnsi" w:cstheme="minorHAnsi"/>
                <w:sz w:val="22"/>
                <w:szCs w:val="22"/>
              </w:rPr>
              <w:t>Read with sufficient accuracy and fluency to support comprehension. (Fluency)</w:t>
            </w:r>
          </w:p>
        </w:tc>
      </w:tr>
    </w:tbl>
    <w:p w14:paraId="49EB8E0D" w14:textId="77777777" w:rsidR="0069680B" w:rsidRPr="00D559BF" w:rsidRDefault="0069680B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sectPr w:rsidR="0069680B" w:rsidRPr="00D559BF" w:rsidSect="00431959">
      <w:type w:val="continuous"/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BADE" w14:textId="77777777" w:rsidR="004E7F21" w:rsidRDefault="004E7F21" w:rsidP="00CB6FD5">
      <w:r>
        <w:separator/>
      </w:r>
    </w:p>
  </w:endnote>
  <w:endnote w:type="continuationSeparator" w:id="0">
    <w:p w14:paraId="57AC70DF" w14:textId="77777777" w:rsidR="004E7F21" w:rsidRDefault="004E7F21" w:rsidP="00CB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7102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2803B8" w14:textId="54F47808" w:rsidR="00CB6FD5" w:rsidRDefault="00CB6FD5" w:rsidP="00FA5C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F70FDA" w14:textId="77777777" w:rsidR="00CB6FD5" w:rsidRDefault="00CB6FD5" w:rsidP="00CB6F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58987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31374E" w14:textId="7D409142" w:rsidR="00CB6FD5" w:rsidRDefault="00CB6FD5" w:rsidP="00FA5C27">
        <w:pPr>
          <w:pStyle w:val="Footer"/>
          <w:framePr w:wrap="none" w:vAnchor="text" w:hAnchor="margin" w:xAlign="right" w:y="1"/>
          <w:rPr>
            <w:rStyle w:val="PageNumber"/>
          </w:rPr>
        </w:pPr>
        <w:r w:rsidRPr="007608D1">
          <w:rPr>
            <w:rStyle w:val="PageNumber"/>
            <w:sz w:val="20"/>
          </w:rPr>
          <w:fldChar w:fldCharType="begin"/>
        </w:r>
        <w:r w:rsidRPr="007608D1">
          <w:rPr>
            <w:rStyle w:val="PageNumber"/>
            <w:sz w:val="20"/>
          </w:rPr>
          <w:instrText xml:space="preserve"> PAGE </w:instrText>
        </w:r>
        <w:r w:rsidRPr="007608D1">
          <w:rPr>
            <w:rStyle w:val="PageNumber"/>
            <w:sz w:val="20"/>
          </w:rPr>
          <w:fldChar w:fldCharType="separate"/>
        </w:r>
        <w:r w:rsidR="00EC2E38">
          <w:rPr>
            <w:rStyle w:val="PageNumber"/>
            <w:noProof/>
            <w:sz w:val="20"/>
          </w:rPr>
          <w:t>3</w:t>
        </w:r>
        <w:r w:rsidRPr="007608D1">
          <w:rPr>
            <w:rStyle w:val="PageNumber"/>
            <w:sz w:val="20"/>
          </w:rPr>
          <w:fldChar w:fldCharType="end"/>
        </w:r>
      </w:p>
    </w:sdtContent>
  </w:sdt>
  <w:p w14:paraId="59D40E30" w14:textId="7A637FF2" w:rsidR="00CB6FD5" w:rsidRPr="007608D1" w:rsidRDefault="00947171" w:rsidP="006F3924">
    <w:pPr>
      <w:pStyle w:val="Footer"/>
      <w:tabs>
        <w:tab w:val="clear" w:pos="4680"/>
        <w:tab w:val="center" w:pos="5040"/>
      </w:tabs>
      <w:ind w:right="360"/>
      <w:rPr>
        <w:sz w:val="20"/>
      </w:rPr>
    </w:pPr>
    <w:r>
      <w:rPr>
        <w:sz w:val="20"/>
      </w:rPr>
      <w:t xml:space="preserve">Prepared by </w:t>
    </w:r>
    <w:r w:rsidR="007608D1" w:rsidRPr="007608D1">
      <w:rPr>
        <w:sz w:val="20"/>
      </w:rPr>
      <w:t>A. Trawick</w:t>
    </w:r>
    <w:r>
      <w:rPr>
        <w:sz w:val="20"/>
      </w:rPr>
      <w:t xml:space="preserve">, Updated </w:t>
    </w:r>
    <w:r w:rsidR="007C25A6">
      <w:rPr>
        <w:sz w:val="20"/>
      </w:rPr>
      <w:t>March 6, 2026</w:t>
    </w:r>
    <w:r w:rsidR="007608D1" w:rsidRPr="007608D1">
      <w:rPr>
        <w:sz w:val="20"/>
      </w:rPr>
      <w:tab/>
    </w:r>
    <w:r w:rsidR="007C25A6">
      <w:rPr>
        <w:sz w:val="20"/>
      </w:rPr>
      <w:t xml:space="preserve">                                                   </w:t>
    </w:r>
    <w:hyperlink r:id="rId1" w:history="1">
      <w:r w:rsidR="00C005FB">
        <w:rPr>
          <w:rStyle w:val="Hyperlink"/>
          <w:sz w:val="20"/>
        </w:rPr>
        <w:t>SABES ELA</w:t>
      </w:r>
    </w:hyperlink>
    <w:r w:rsidR="007608D1" w:rsidRPr="007608D1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162E" w14:textId="77777777" w:rsidR="007C25A6" w:rsidRDefault="007C2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8841" w14:textId="77777777" w:rsidR="004E7F21" w:rsidRDefault="004E7F21" w:rsidP="00CB6FD5">
      <w:r>
        <w:separator/>
      </w:r>
    </w:p>
  </w:footnote>
  <w:footnote w:type="continuationSeparator" w:id="0">
    <w:p w14:paraId="79E33331" w14:textId="77777777" w:rsidR="004E7F21" w:rsidRDefault="004E7F21" w:rsidP="00CB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2AEB" w14:textId="77777777" w:rsidR="007C25A6" w:rsidRDefault="007C2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4BB9" w14:textId="77777777" w:rsidR="007C25A6" w:rsidRDefault="007C25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666C" w14:textId="77777777" w:rsidR="007C25A6" w:rsidRDefault="007C2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2BF"/>
    <w:multiLevelType w:val="hybridMultilevel"/>
    <w:tmpl w:val="981E3CCE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" w15:restartNumberingAfterBreak="0">
    <w:nsid w:val="308A6A62"/>
    <w:multiLevelType w:val="hybridMultilevel"/>
    <w:tmpl w:val="145A2214"/>
    <w:lvl w:ilvl="0" w:tplc="D27A1BF8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i w:val="0"/>
        <w:iCs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179CF"/>
    <w:multiLevelType w:val="hybridMultilevel"/>
    <w:tmpl w:val="8EF82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B35145"/>
    <w:multiLevelType w:val="hybridMultilevel"/>
    <w:tmpl w:val="074C4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6"/>
    <w:rsid w:val="00042370"/>
    <w:rsid w:val="00045572"/>
    <w:rsid w:val="00055672"/>
    <w:rsid w:val="000C7907"/>
    <w:rsid w:val="00111668"/>
    <w:rsid w:val="00111A63"/>
    <w:rsid w:val="00176E46"/>
    <w:rsid w:val="001A7ECC"/>
    <w:rsid w:val="001B0657"/>
    <w:rsid w:val="001E320F"/>
    <w:rsid w:val="00217506"/>
    <w:rsid w:val="0022346A"/>
    <w:rsid w:val="00295D92"/>
    <w:rsid w:val="00297F10"/>
    <w:rsid w:val="002A39A8"/>
    <w:rsid w:val="002E2D20"/>
    <w:rsid w:val="00310147"/>
    <w:rsid w:val="0036578D"/>
    <w:rsid w:val="003741C6"/>
    <w:rsid w:val="0037664F"/>
    <w:rsid w:val="003D04BB"/>
    <w:rsid w:val="003F7CB2"/>
    <w:rsid w:val="004117E3"/>
    <w:rsid w:val="00431959"/>
    <w:rsid w:val="00432606"/>
    <w:rsid w:val="00456D22"/>
    <w:rsid w:val="00487818"/>
    <w:rsid w:val="004A04D5"/>
    <w:rsid w:val="004E7F21"/>
    <w:rsid w:val="00520C8B"/>
    <w:rsid w:val="00545CB3"/>
    <w:rsid w:val="0057052A"/>
    <w:rsid w:val="00645716"/>
    <w:rsid w:val="00677389"/>
    <w:rsid w:val="0069680B"/>
    <w:rsid w:val="006F3924"/>
    <w:rsid w:val="00737E42"/>
    <w:rsid w:val="007608D1"/>
    <w:rsid w:val="00767DF9"/>
    <w:rsid w:val="007A09CB"/>
    <w:rsid w:val="007C25A6"/>
    <w:rsid w:val="007C4103"/>
    <w:rsid w:val="008274C8"/>
    <w:rsid w:val="00853678"/>
    <w:rsid w:val="00896317"/>
    <w:rsid w:val="00896CA4"/>
    <w:rsid w:val="00896D52"/>
    <w:rsid w:val="008A0377"/>
    <w:rsid w:val="008B0BBD"/>
    <w:rsid w:val="008F56CC"/>
    <w:rsid w:val="009442CD"/>
    <w:rsid w:val="00947171"/>
    <w:rsid w:val="009C4E3C"/>
    <w:rsid w:val="009C76C9"/>
    <w:rsid w:val="009D5AA1"/>
    <w:rsid w:val="00A55C4A"/>
    <w:rsid w:val="00AF08BB"/>
    <w:rsid w:val="00B83DF9"/>
    <w:rsid w:val="00BF3BF2"/>
    <w:rsid w:val="00C005FB"/>
    <w:rsid w:val="00C21C0B"/>
    <w:rsid w:val="00C65623"/>
    <w:rsid w:val="00CA51FC"/>
    <w:rsid w:val="00CB6FD5"/>
    <w:rsid w:val="00D212CE"/>
    <w:rsid w:val="00D410E6"/>
    <w:rsid w:val="00D52D51"/>
    <w:rsid w:val="00D54034"/>
    <w:rsid w:val="00D559BF"/>
    <w:rsid w:val="00DB469D"/>
    <w:rsid w:val="00E16E74"/>
    <w:rsid w:val="00E24EF9"/>
    <w:rsid w:val="00E54227"/>
    <w:rsid w:val="00E8448B"/>
    <w:rsid w:val="00EA7DBE"/>
    <w:rsid w:val="00EC2E38"/>
    <w:rsid w:val="00EF428C"/>
    <w:rsid w:val="00F13346"/>
    <w:rsid w:val="00F15825"/>
    <w:rsid w:val="00F54B31"/>
    <w:rsid w:val="00F64934"/>
    <w:rsid w:val="00F91A6E"/>
    <w:rsid w:val="00FC24D6"/>
    <w:rsid w:val="00FE7C68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30C3"/>
  <w15:chartTrackingRefBased/>
  <w15:docId w15:val="{2DE71105-6EF3-8042-8FDD-AB1A14C0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B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F10"/>
    <w:pPr>
      <w:jc w:val="center"/>
      <w:outlineLvl w:val="0"/>
    </w:pPr>
    <w:rPr>
      <w:rFonts w:asciiTheme="minorHAnsi" w:hAnsiTheme="minorHAnsi" w:cstheme="minorHAns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2CE"/>
    <w:pPr>
      <w:spacing w:before="240"/>
      <w:outlineLvl w:val="1"/>
    </w:pPr>
    <w:rPr>
      <w:rFonts w:asciiTheme="minorHAnsi" w:hAnsiTheme="minorHAnsi" w:cstheme="minorHAnsi"/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7ECC"/>
    <w:pPr>
      <w:outlineLvl w:val="2"/>
    </w:pPr>
    <w:rPr>
      <w:rFonts w:asciiTheme="minorHAnsi" w:hAnsiTheme="minorHAnsi" w:cstheme="minorHAnsi"/>
      <w:b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6F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6FD5"/>
    <w:rPr>
      <w:rFonts w:ascii="Calibri" w:eastAsia="Calibri" w:hAnsi="Calibri" w:cs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B6FD5"/>
  </w:style>
  <w:style w:type="paragraph" w:customStyle="1" w:styleId="Normal1">
    <w:name w:val="Normal1"/>
    <w:rsid w:val="00111A6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11A63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39"/>
    <w:rsid w:val="0011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559BF"/>
  </w:style>
  <w:style w:type="paragraph" w:styleId="Header">
    <w:name w:val="header"/>
    <w:basedOn w:val="Normal"/>
    <w:link w:val="HeaderChar"/>
    <w:uiPriority w:val="99"/>
    <w:unhideWhenUsed/>
    <w:rsid w:val="00760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8D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608D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7F10"/>
    <w:rPr>
      <w:rFonts w:eastAsia="Times New Roman" w:cstheme="minorHAnsi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12CE"/>
    <w:rPr>
      <w:rFonts w:eastAsia="Times New Roman" w:cstheme="minorHAns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A7ECC"/>
    <w:rPr>
      <w:rFonts w:eastAsia="Times New Roman" w:cstheme="minorHAnsi"/>
      <w:b/>
      <w:color w:val="000000" w:themeColor="tex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bes.org/pd-center/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5173460500B4E95D6E746241C127C" ma:contentTypeVersion="10" ma:contentTypeDescription="Create a new document." ma:contentTypeScope="" ma:versionID="7d2b2c32c0354b17895bcc00713e2693">
  <xsd:schema xmlns:xsd="http://www.w3.org/2001/XMLSchema" xmlns:xs="http://www.w3.org/2001/XMLSchema" xmlns:p="http://schemas.microsoft.com/office/2006/metadata/properties" xmlns:ns2="d2efd6b8-2234-4349-a32a-8ee9b513af32" xmlns:ns3="b7360c85-e685-4e52-84ac-1c0bb0e1304c" targetNamespace="http://schemas.microsoft.com/office/2006/metadata/properties" ma:root="true" ma:fieldsID="7db4e9f5db5304fa84c0ba57a4c692b7" ns2:_="" ns3:_="">
    <xsd:import namespace="d2efd6b8-2234-4349-a32a-8ee9b513af32"/>
    <xsd:import namespace="b7360c85-e685-4e52-84ac-1c0bb0e130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6b8-2234-4349-a32a-8ee9b513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60c85-e685-4e52-84ac-1c0bb0e13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4E826-7412-4E46-927D-1AFE4CD88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fd6b8-2234-4349-a32a-8ee9b513af32"/>
    <ds:schemaRef ds:uri="b7360c85-e685-4e52-84ac-1c0bb0e1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4E7FA-29E7-4104-83C0-B2E131440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C11DED-43FA-4695-822B-3E233EDED2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Notating the ELA Standards</vt:lpstr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Notating the ELA Standards</dc:title>
  <dc:subject/>
  <dc:creator>Amy R. Trawick</dc:creator>
  <cp:keywords/>
  <dc:description/>
  <cp:lastModifiedBy>Elena Ruiz</cp:lastModifiedBy>
  <cp:revision>2</cp:revision>
  <cp:lastPrinted>2021-07-16T14:18:00Z</cp:lastPrinted>
  <dcterms:created xsi:type="dcterms:W3CDTF">2026-03-11T21:04:00Z</dcterms:created>
  <dcterms:modified xsi:type="dcterms:W3CDTF">2026-03-11T21:04:00Z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0x010100C3C5173460500B4E95D6E746241C127C</vt:lpwstr>
  </property>
</Properties>
</file>